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(Rule 14a-101)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328"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Registrant </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Filed by a party other than the Registrant </w:t>
      </w:r>
      <w:r>
        <w:rPr>
          <w:rFonts w:ascii="MS PGothic" w:cs="MS PGothic" w:eastAsia="MS PGothic" w:hAnsi="MS PGothic"/>
          <w:sz w:val="17"/>
          <w:szCs w:val="17"/>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220" w:hanging="197"/>
        <w:spacing w:after="0"/>
        <w:tabs>
          <w:tab w:leader="none" w:pos="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220" w:hanging="197"/>
        <w:spacing w:after="0"/>
        <w:tabs>
          <w:tab w:leader="none" w:pos="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220" w:hanging="200"/>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220" w:hanging="197"/>
        <w:spacing w:after="0"/>
        <w:tabs>
          <w:tab w:leader="none" w:pos="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220" w:hanging="197"/>
        <w:spacing w:after="0"/>
        <w:tabs>
          <w:tab w:leader="none" w:pos="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jc w:val="center"/>
        <w:ind w:right="-80"/>
        <w:spacing w:after="0"/>
        <w:rPr>
          <w:sz w:val="20"/>
          <w:szCs w:val="20"/>
          <w:color w:val="auto"/>
        </w:rPr>
      </w:pPr>
      <w:r>
        <w:rPr>
          <w:rFonts w:ascii="Arial" w:cs="Arial" w:eastAsia="Arial" w:hAnsi="Arial"/>
          <w:sz w:val="68"/>
          <w:szCs w:val="68"/>
          <w:color w:val="C43776"/>
        </w:rPr>
        <w:t>CORPAY, INC.</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240" w:hanging="203"/>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0" w:lineRule="exact"/>
        <w:rPr>
          <w:rFonts w:ascii="MS PGothic" w:cs="MS PGothic" w:eastAsia="MS PGothic" w:hAnsi="MS PGothic"/>
          <w:sz w:val="18"/>
          <w:szCs w:val="18"/>
          <w:color w:val="auto"/>
        </w:rPr>
      </w:pPr>
    </w:p>
    <w:p>
      <w:pPr>
        <w:ind w:left="240" w:hanging="200"/>
        <w:spacing w:after="0"/>
        <w:tabs>
          <w:tab w:leader="none" w:pos="2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240" w:hanging="200"/>
        <w:spacing w:after="0"/>
        <w:tabs>
          <w:tab w:leader="none" w:pos="2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ectPr>
          <w:pgSz w:w="11900" w:h="16838" w:orient="portrait"/>
          <w:cols w:equalWidth="0" w:num="1">
            <w:col w:w="9059"/>
          </w:cols>
          <w:pgMar w:left="1400" w:top="1440" w:right="1440" w:bottom="1440" w:gutter="0" w:footer="0" w:header="0"/>
        </w:sectPr>
      </w:pPr>
    </w:p>
    <w:bookmarkStart w:id="1" w:name="page2"/>
    <w:bookmarkEnd w:id="1"/>
    <w:p>
      <w:pP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A Letter From Our Chief Executive Officer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C43776"/>
        </w:rPr>
        <w:t>My Fellow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highlight w:val="white"/>
        </w:rPr>
        <w:t>Thank you for your investment in Corpa</w:t>
      </w:r>
      <w:r>
        <w:rPr>
          <w:rFonts w:ascii="Arial" w:cs="Arial" w:eastAsia="Arial" w:hAnsi="Arial"/>
          <w:sz w:val="16"/>
          <w:szCs w:val="16"/>
          <w:color w:val="auto"/>
        </w:rPr>
        <w:t>y, the corporate payments company.</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color w:val="auto"/>
        </w:rPr>
        <w:t>Performance &amp; Positioning</w:t>
      </w:r>
    </w:p>
    <w:p>
      <w:pPr>
        <w:spacing w:after="0" w:line="1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2025 financial performance again reached record levels, with revenue of $4.5 billion, up 14%, adjusted earnings per share of $21.38, up 12%, and adjusted EBITDA of over $2.6 billion, up 13%. Each of these metrics set all-time records, and continue to demonstrate the durability of our Company. We closed the second largest acquisition in the Company’s history, Alpha Group, PLC, as well as two significant strategic investments. Our 2025 exit rate and accretive deals create a strong setup for 2026, as we accelerate the rotation of our portfolio toward Corporate Payments.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2025 we made substantial progress to better position the Company for the future:</w:t>
      </w:r>
    </w:p>
    <w:p>
      <w:pPr>
        <w:spacing w:after="0" w:line="181" w:lineRule="exact"/>
        <w:rPr>
          <w:sz w:val="20"/>
          <w:szCs w:val="20"/>
          <w:color w:val="auto"/>
        </w:rPr>
      </w:pPr>
    </w:p>
    <w:p>
      <w:pPr>
        <w:jc w:val="both"/>
        <w:ind w:left="340" w:right="60" w:hanging="251"/>
        <w:spacing w:after="0" w:line="275" w:lineRule="auto"/>
        <w:tabs>
          <w:tab w:leader="none" w:pos="340" w:val="left"/>
        </w:tabs>
        <w:numPr>
          <w:ilvl w:val="0"/>
          <w:numId w:val="3"/>
        </w:numPr>
        <w:rPr>
          <w:rFonts w:ascii="Arial" w:cs="Arial" w:eastAsia="Arial" w:hAnsi="Arial"/>
          <w:sz w:val="11"/>
          <w:szCs w:val="11"/>
          <w:b w:val="1"/>
          <w:bCs w:val="1"/>
          <w:color w:val="BE1549"/>
        </w:rPr>
      </w:pPr>
      <w:r>
        <w:rPr>
          <w:rFonts w:ascii="Arial" w:cs="Arial" w:eastAsia="Arial" w:hAnsi="Arial"/>
          <w:sz w:val="16"/>
          <w:szCs w:val="16"/>
          <w:b w:val="1"/>
          <w:bCs w:val="1"/>
          <w:color w:val="C43776"/>
        </w:rPr>
        <w:t xml:space="preserve">Alpha Group, PLC acquisition. </w:t>
      </w:r>
      <w:r>
        <w:rPr>
          <w:rFonts w:ascii="Arial" w:cs="Arial" w:eastAsia="Arial" w:hAnsi="Arial"/>
          <w:sz w:val="16"/>
          <w:szCs w:val="16"/>
          <w:color w:val="000000"/>
        </w:rPr>
        <w:t>We acquired Alpha, giving us a meaningful foothold in, and greater access to, the asset</w:t>
      </w:r>
      <w:r>
        <w:rPr>
          <w:rFonts w:ascii="Arial" w:cs="Arial" w:eastAsia="Arial" w:hAnsi="Arial"/>
          <w:sz w:val="16"/>
          <w:szCs w:val="16"/>
          <w:b w:val="1"/>
          <w:bCs w:val="1"/>
          <w:color w:val="C43776"/>
        </w:rPr>
        <w:t xml:space="preserve"> </w:t>
      </w:r>
      <w:r>
        <w:rPr>
          <w:rFonts w:ascii="Arial" w:cs="Arial" w:eastAsia="Arial" w:hAnsi="Arial"/>
          <w:sz w:val="16"/>
          <w:szCs w:val="16"/>
          <w:color w:val="000000"/>
        </w:rPr>
        <w:t>management market segment within our cross-border business, along with the addition of a global bank account product. This significantly improves our available total addressable market.</w:t>
      </w:r>
    </w:p>
    <w:p>
      <w:pPr>
        <w:spacing w:after="0" w:line="110" w:lineRule="exact"/>
        <w:rPr>
          <w:rFonts w:ascii="Arial" w:cs="Arial" w:eastAsia="Arial" w:hAnsi="Arial"/>
          <w:sz w:val="11"/>
          <w:szCs w:val="11"/>
          <w:b w:val="1"/>
          <w:bCs w:val="1"/>
          <w:color w:val="BE1549"/>
        </w:rPr>
      </w:pPr>
    </w:p>
    <w:p>
      <w:pPr>
        <w:ind w:left="340" w:hanging="251"/>
        <w:spacing w:after="0" w:line="265" w:lineRule="auto"/>
        <w:tabs>
          <w:tab w:leader="none" w:pos="340" w:val="left"/>
        </w:tabs>
        <w:numPr>
          <w:ilvl w:val="0"/>
          <w:numId w:val="3"/>
        </w:numPr>
        <w:rPr>
          <w:rFonts w:ascii="Arial" w:cs="Arial" w:eastAsia="Arial" w:hAnsi="Arial"/>
          <w:sz w:val="11"/>
          <w:szCs w:val="11"/>
          <w:b w:val="1"/>
          <w:bCs w:val="1"/>
          <w:color w:val="BE1549"/>
        </w:rPr>
      </w:pPr>
      <w:r>
        <w:rPr>
          <w:rFonts w:ascii="Arial" w:cs="Arial" w:eastAsia="Arial" w:hAnsi="Arial"/>
          <w:sz w:val="16"/>
          <w:szCs w:val="16"/>
          <w:b w:val="1"/>
          <w:bCs w:val="1"/>
          <w:color w:val="C43776"/>
        </w:rPr>
        <w:t xml:space="preserve">Mastercard investment. </w:t>
      </w:r>
      <w:r>
        <w:rPr>
          <w:rFonts w:ascii="Arial" w:cs="Arial" w:eastAsia="Arial" w:hAnsi="Arial"/>
          <w:sz w:val="16"/>
          <w:szCs w:val="16"/>
          <w:color w:val="000000"/>
        </w:rPr>
        <w:t>Mastercard invested $300M in our cross-border business, at a $13B valuation, to help target the</w:t>
      </w:r>
      <w:r>
        <w:rPr>
          <w:rFonts w:ascii="Arial" w:cs="Arial" w:eastAsia="Arial" w:hAnsi="Arial"/>
          <w:sz w:val="16"/>
          <w:szCs w:val="16"/>
          <w:b w:val="1"/>
          <w:bCs w:val="1"/>
          <w:color w:val="C43776"/>
        </w:rPr>
        <w:t xml:space="preserve"> </w:t>
      </w:r>
      <w:r>
        <w:rPr>
          <w:rFonts w:ascii="Arial" w:cs="Arial" w:eastAsia="Arial" w:hAnsi="Arial"/>
          <w:sz w:val="16"/>
          <w:szCs w:val="16"/>
          <w:color w:val="000000"/>
        </w:rPr>
        <w:t>financial institutions channel. The partnership delivers the combined global reach of two leading payment organizations and brings our industry leading currency risk management and integrated cross-border payments solutions to banks and financial institutions across the world.</w:t>
      </w:r>
    </w:p>
    <w:p>
      <w:pPr>
        <w:spacing w:after="0" w:line="132" w:lineRule="exact"/>
        <w:rPr>
          <w:rFonts w:ascii="Arial" w:cs="Arial" w:eastAsia="Arial" w:hAnsi="Arial"/>
          <w:sz w:val="11"/>
          <w:szCs w:val="11"/>
          <w:b w:val="1"/>
          <w:bCs w:val="1"/>
          <w:color w:val="BE1549"/>
        </w:rPr>
      </w:pPr>
    </w:p>
    <w:p>
      <w:pPr>
        <w:ind w:left="340" w:right="480" w:hanging="251"/>
        <w:spacing w:after="0" w:line="286" w:lineRule="auto"/>
        <w:tabs>
          <w:tab w:leader="none" w:pos="340" w:val="left"/>
        </w:tabs>
        <w:numPr>
          <w:ilvl w:val="0"/>
          <w:numId w:val="3"/>
        </w:numPr>
        <w:rPr>
          <w:rFonts w:ascii="Arial" w:cs="Arial" w:eastAsia="Arial" w:hAnsi="Arial"/>
          <w:sz w:val="11"/>
          <w:szCs w:val="11"/>
          <w:b w:val="1"/>
          <w:bCs w:val="1"/>
          <w:color w:val="BE1549"/>
        </w:rPr>
      </w:pPr>
      <w:r>
        <w:rPr>
          <w:rFonts w:ascii="Arial" w:cs="Arial" w:eastAsia="Arial" w:hAnsi="Arial"/>
          <w:sz w:val="16"/>
          <w:szCs w:val="16"/>
          <w:b w:val="1"/>
          <w:bCs w:val="1"/>
          <w:color w:val="C43776"/>
        </w:rPr>
        <w:t xml:space="preserve">AvidXchange investment. </w:t>
      </w:r>
      <w:r>
        <w:rPr>
          <w:rFonts w:ascii="Arial" w:cs="Arial" w:eastAsia="Arial" w:hAnsi="Arial"/>
          <w:sz w:val="16"/>
          <w:szCs w:val="16"/>
          <w:color w:val="000000"/>
        </w:rPr>
        <w:t>We invested alongside TPG Inc. to acquire AvidXchange, deepening our position in the</w:t>
      </w:r>
      <w:r>
        <w:rPr>
          <w:rFonts w:ascii="Arial" w:cs="Arial" w:eastAsia="Arial" w:hAnsi="Arial"/>
          <w:sz w:val="16"/>
          <w:szCs w:val="16"/>
          <w:b w:val="1"/>
          <w:bCs w:val="1"/>
          <w:color w:val="C43776"/>
        </w:rPr>
        <w:t xml:space="preserve"> </w:t>
      </w:r>
      <w:r>
        <w:rPr>
          <w:rFonts w:ascii="Arial" w:cs="Arial" w:eastAsia="Arial" w:hAnsi="Arial"/>
          <w:sz w:val="16"/>
          <w:szCs w:val="16"/>
          <w:color w:val="000000"/>
        </w:rPr>
        <w:t>middle market AP automation and payments space.</w:t>
      </w:r>
    </w:p>
    <w:p>
      <w:pPr>
        <w:spacing w:after="0" w:line="10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expect Corporate Payments to exceed 40% of total Company revenue in 2026, and enhance our ability to deliver our mid-term objectives to annually grow revenue 10% organically and adjusted earnings per share more than 15%. While we have seen volatility in our stock price over the last 12 months, we expect the market to reward our performance over time as we deliver consistent, quality results.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auto"/>
        </w:rPr>
        <w:t>Governance &amp; Board Oversight</w:t>
      </w:r>
    </w:p>
    <w:p>
      <w:pPr>
        <w:spacing w:after="0" w:line="13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have an experienced Board of Directors with a diverse set of skills and experience, including leading large, global public companies within our industry. Our directors provide valuable oversight regarding audit, compensation, governance and strategy. Our Board of Directors are deeply involved in all aspects of the business, including our shareholder engagement efforts, and have helped drive responsive enhancements to our practices.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auto"/>
        </w:rPr>
        <w:t>Your Support</w:t>
      </w:r>
    </w:p>
    <w:p>
      <w:pPr>
        <w:spacing w:after="0" w:line="139"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On behalf of our Board of Directors, we sincerely ask that you vote with our recommendations. We appreciate your support and feedback, and we will continue to reach out on a regular basis to gain further insights and perspectives.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C43776"/>
        </w:rPr>
        <w:t>Ronald F. Clarke</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6"/>
          <w:szCs w:val="16"/>
          <w:i w:val="1"/>
          <w:iCs w:val="1"/>
          <w:color w:val="auto"/>
        </w:rPr>
        <w:t>Chair &amp;</w:t>
      </w:r>
    </w:p>
    <w:p>
      <w:pPr>
        <w:spacing w:after="0" w:line="29" w:lineRule="exact"/>
        <w:rPr>
          <w:sz w:val="20"/>
          <w:szCs w:val="20"/>
          <w:color w:val="auto"/>
        </w:rPr>
      </w:pPr>
    </w:p>
    <w:p>
      <w:pPr>
        <w:ind w:left="2060"/>
        <w:spacing w:after="0"/>
        <w:rPr>
          <w:sz w:val="20"/>
          <w:szCs w:val="20"/>
          <w:color w:val="auto"/>
        </w:rPr>
      </w:pPr>
      <w:r>
        <w:rPr>
          <w:rFonts w:ascii="Arial" w:cs="Arial" w:eastAsia="Arial" w:hAnsi="Arial"/>
          <w:sz w:val="16"/>
          <w:szCs w:val="16"/>
          <w:i w:val="1"/>
          <w:iCs w:val="1"/>
          <w:color w:val="auto"/>
        </w:rPr>
        <w:t>Chief Executive Officer</w:t>
      </w:r>
    </w:p>
    <w:p>
      <w:pPr>
        <w:spacing w:after="0" w:line="18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Corpay, Inc.</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3280 Peachtree Road, Suite 2400</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Atlanta, GA 30305</w:t>
      </w:r>
    </w:p>
    <w:p>
      <w:pPr>
        <w:sectPr>
          <w:pgSz w:w="11900" w:h="16838" w:orient="portrait"/>
          <w:cols w:equalWidth="0" w:num="1">
            <w:col w:w="9060"/>
          </w:cols>
          <w:pgMar w:left="1400" w:top="1440" w:right="1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314" w:lineRule="exact"/>
        <w:rPr>
          <w:sz w:val="20"/>
          <w:szCs w:val="20"/>
          <w:color w:val="auto"/>
        </w:rPr>
      </w:pPr>
    </w:p>
    <w:p>
      <w:pPr>
        <w:ind w:left="380"/>
        <w:spacing w:after="0"/>
        <w:rPr>
          <w:sz w:val="20"/>
          <w:szCs w:val="20"/>
          <w:color w:val="auto"/>
        </w:rPr>
      </w:pPr>
      <w:r>
        <w:rPr>
          <w:rFonts w:ascii="Arial" w:cs="Arial" w:eastAsia="Arial" w:hAnsi="Arial"/>
          <w:sz w:val="25"/>
          <w:szCs w:val="25"/>
          <w:color w:val="FFFFFF"/>
        </w:rPr>
        <w:t>Annual Meeting of Shareholders</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ind w:left="380" w:right="739"/>
        <w:spacing w:after="0" w:line="286" w:lineRule="auto"/>
        <w:rPr>
          <w:sz w:val="20"/>
          <w:szCs w:val="20"/>
          <w:color w:val="auto"/>
        </w:rPr>
      </w:pPr>
      <w:r>
        <w:rPr>
          <w:rFonts w:ascii="Arial" w:cs="Arial" w:eastAsia="Arial" w:hAnsi="Arial"/>
          <w:sz w:val="16"/>
          <w:szCs w:val="16"/>
          <w:color w:val="FFFFFF"/>
        </w:rPr>
        <w:t>The Company’s Annual Meeting of Shareholders will be held at 3280 Peachtree Road, Suite 2400, Atlanta, GA 30305 on May 7, 2026 at 10:00 a.m. Eastern Daylight Time</w:t>
      </w:r>
    </w:p>
    <w:p>
      <w:pPr>
        <w:sectPr>
          <w:pgSz w:w="11900" w:h="16838" w:orient="portrait"/>
          <w:cols w:equalWidth="0" w:num="1">
            <w:col w:w="9019"/>
          </w:cols>
          <w:pgMar w:left="1440" w:top="1440" w:right="1440" w:bottom="1440" w:gutter="0" w:footer="0" w:header="0"/>
          <w:type w:val="continuous"/>
        </w:sectPr>
      </w:pPr>
    </w:p>
    <w:bookmarkStart w:id="4" w:name="page5"/>
    <w:bookmarkEnd w:id="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Notice of 2026 Annual Meeting of Shareholders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0" w:type="dxa"/>
            <w:vAlign w:val="bottom"/>
            <w:shd w:val="clear" w:color="auto" w:fill="F1F2F2"/>
          </w:tcPr>
          <w:p>
            <w:pPr>
              <w:spacing w:after="0"/>
              <w:rPr>
                <w:sz w:val="23"/>
                <w:szCs w:val="23"/>
                <w:color w:val="auto"/>
              </w:rPr>
            </w:pPr>
          </w:p>
        </w:tc>
        <w:tc>
          <w:tcPr>
            <w:tcW w:w="278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Meeting Date and Time:</w:t>
            </w:r>
          </w:p>
        </w:tc>
        <w:tc>
          <w:tcPr>
            <w:tcW w:w="20" w:type="dxa"/>
            <w:vAlign w:val="bottom"/>
            <w:shd w:val="clear" w:color="auto" w:fill="F1F2F2"/>
          </w:tcPr>
          <w:p>
            <w:pPr>
              <w:spacing w:after="0"/>
              <w:rPr>
                <w:sz w:val="23"/>
                <w:szCs w:val="23"/>
                <w:color w:val="auto"/>
              </w:rPr>
            </w:pPr>
          </w:p>
        </w:tc>
        <w:tc>
          <w:tcPr>
            <w:tcW w:w="294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Meeting Place:</w:t>
            </w:r>
          </w:p>
        </w:tc>
        <w:tc>
          <w:tcPr>
            <w:tcW w:w="20" w:type="dxa"/>
            <w:vAlign w:val="bottom"/>
            <w:shd w:val="clear" w:color="auto" w:fill="F1F2F2"/>
          </w:tcPr>
          <w:p>
            <w:pPr>
              <w:spacing w:after="0"/>
              <w:rPr>
                <w:sz w:val="23"/>
                <w:szCs w:val="23"/>
                <w:color w:val="auto"/>
              </w:rPr>
            </w:pPr>
          </w:p>
        </w:tc>
        <w:tc>
          <w:tcPr>
            <w:tcW w:w="276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Record Date:</w:t>
            </w: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80" w:type="dxa"/>
            <w:vAlign w:val="bottom"/>
            <w:shd w:val="clear" w:color="auto" w:fill="F1F2F2"/>
          </w:tcPr>
          <w:p>
            <w:pPr>
              <w:spacing w:after="0"/>
              <w:rPr>
                <w:sz w:val="16"/>
                <w:szCs w:val="16"/>
                <w:color w:val="auto"/>
              </w:rPr>
            </w:pPr>
          </w:p>
        </w:tc>
        <w:tc>
          <w:tcPr>
            <w:tcW w:w="2780" w:type="dxa"/>
            <w:vAlign w:val="bottom"/>
            <w:vMerge w:val="continue"/>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940" w:type="dxa"/>
            <w:vAlign w:val="bottom"/>
            <w:vMerge w:val="continue"/>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760" w:type="dxa"/>
            <w:vAlign w:val="bottom"/>
            <w:vMerge w:val="continue"/>
            <w:shd w:val="clear" w:color="auto" w:fill="F1F2F2"/>
          </w:tcPr>
          <w:p>
            <w:pPr>
              <w:spacing w:after="0"/>
              <w:rPr>
                <w:sz w:val="16"/>
                <w:szCs w:val="16"/>
                <w:color w:val="auto"/>
              </w:rPr>
            </w:pPr>
          </w:p>
        </w:tc>
        <w:tc>
          <w:tcPr>
            <w:tcW w:w="2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Thursday, May 7, 2026, at 10:00 a.m.</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3280 Peachtree Road, Suite 2400</w:t>
            </w: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March 23, 2026 (66,131,990 common</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Eastern Daylight Time</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Atlanta, GA 30305</w:t>
            </w: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shares and 43,510 unvested restricted</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shares outstanding and entitled to vote</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0" w:type="dxa"/>
            <w:vAlign w:val="bottom"/>
            <w:shd w:val="clear" w:color="auto" w:fill="F1F2F2"/>
          </w:tcPr>
          <w:p>
            <w:pPr>
              <w:spacing w:after="0"/>
              <w:rPr>
                <w:sz w:val="16"/>
                <w:szCs w:val="16"/>
                <w:color w:val="auto"/>
              </w:rPr>
            </w:pPr>
          </w:p>
        </w:tc>
        <w:tc>
          <w:tcPr>
            <w:tcW w:w="2780" w:type="dxa"/>
            <w:vAlign w:val="bottom"/>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940" w:type="dxa"/>
            <w:vAlign w:val="bottom"/>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as of the record date).</w:t>
            </w:r>
          </w:p>
        </w:tc>
        <w:tc>
          <w:tcPr>
            <w:tcW w:w="2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F1F2F2"/>
          </w:tcPr>
          <w:p>
            <w:pPr>
              <w:spacing w:after="0"/>
              <w:rPr>
                <w:sz w:val="23"/>
                <w:szCs w:val="23"/>
                <w:color w:val="auto"/>
              </w:rPr>
            </w:pPr>
          </w:p>
        </w:tc>
        <w:tc>
          <w:tcPr>
            <w:tcW w:w="278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94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760" w:type="dxa"/>
            <w:vAlign w:val="bottom"/>
            <w:shd w:val="clear" w:color="auto" w:fill="F1F2F2"/>
          </w:tcPr>
          <w:p>
            <w:pPr>
              <w:spacing w:after="0"/>
              <w:rPr>
                <w:sz w:val="23"/>
                <w:szCs w:val="23"/>
                <w:color w:val="auto"/>
              </w:rPr>
            </w:pP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32"/>
          <w:szCs w:val="32"/>
          <w:color w:val="C43776"/>
        </w:rPr>
        <w:t>Agenda</w:t>
      </w:r>
    </w:p>
    <w:p>
      <w:pPr>
        <w:sectPr>
          <w:pgSz w:w="11900" w:h="16838" w:orient="portrait"/>
          <w:cols w:equalWidth="0" w:num="1">
            <w:col w:w="9060"/>
          </w:cols>
          <w:pgMar w:left="1400" w:top="1440" w:right="1439" w:bottom="1440" w:gutter="0" w:footer="0" w:header="0"/>
        </w:sect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35"/>
          <w:szCs w:val="35"/>
          <w:color w:val="auto"/>
        </w:rPr>
        <w:t>1</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35"/>
          <w:szCs w:val="35"/>
          <w:color w:val="auto"/>
        </w:rPr>
        <w:t>2</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35"/>
          <w:szCs w:val="35"/>
          <w:color w:val="auto"/>
        </w:rPr>
        <w:t>3</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35"/>
          <w:szCs w:val="35"/>
          <w:color w:val="auto"/>
        </w:rPr>
        <w:t>4</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To elect the twelve directors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To ratify the reappointment of Ernst &amp; Young LLP as the Company’s independent public accounting firm for 2026</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To approve, on an advisory basis, named executive officer compensation</w:t>
      </w:r>
    </w:p>
    <w:p>
      <w:pPr>
        <w:spacing w:after="0" w:line="22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To vote on a shareholder proposal regarding an independent Board Chair requirement, if properly presented at the meeting</w:t>
      </w:r>
    </w:p>
    <w:p>
      <w:pPr>
        <w:spacing w:after="0" w:line="169" w:lineRule="exact"/>
        <w:rPr>
          <w:sz w:val="20"/>
          <w:szCs w:val="20"/>
          <w:color w:val="auto"/>
        </w:rPr>
      </w:pPr>
    </w:p>
    <w:p>
      <w:pPr>
        <w:sectPr>
          <w:pgSz w:w="11900" w:h="16838" w:orient="portrait"/>
          <w:cols w:equalWidth="0" w:num="2">
            <w:col w:w="400" w:space="200"/>
            <w:col w:w="8460"/>
          </w:cols>
          <w:pgMar w:left="1400" w:top="1440" w:right="1439" w:bottom="1440" w:gutter="0" w:footer="0" w:header="0"/>
          <w:type w:val="continuous"/>
        </w:sectPr>
      </w:pPr>
    </w:p>
    <w:p>
      <w:pPr>
        <w:spacing w:after="0"/>
        <w:rPr>
          <w:sz w:val="20"/>
          <w:szCs w:val="20"/>
          <w:color w:val="auto"/>
        </w:rPr>
      </w:pPr>
      <w:r>
        <w:rPr>
          <w:rFonts w:ascii="Arial" w:cs="Arial" w:eastAsia="Arial" w:hAnsi="Arial"/>
          <w:sz w:val="16"/>
          <w:szCs w:val="16"/>
          <w:color w:val="auto"/>
        </w:rPr>
        <w:t>We may also transact other business that properly comes before the meeting.</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auto"/>
        </w:rPr>
        <w:t>Mailing Date and Availability of Proxy Materials</w:t>
      </w:r>
    </w:p>
    <w:p>
      <w:pPr>
        <w:spacing w:after="0" w:line="139"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On or about April 10, 2026, we mailed our Proxy Materials to shareholders. Shareholders of record at the close of business on March 23, 2026 are entitled to receive notice of, and to vote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Your Vote is Important</w:t>
      </w:r>
    </w:p>
    <w:p>
      <w:pPr>
        <w:spacing w:after="0" w:line="13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Please vote as soon as possible by one of the methods shown below, whether or not you expect to attend the annual meeting. Be sure to have your proxy card, voting instruction form or our Proxy Materials in hand and follow the instructions below. Vote by 11:59 P.M. ET the day before the meeting (May 6,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0" w:type="dxa"/>
            <w:vAlign w:val="bottom"/>
            <w:shd w:val="clear" w:color="auto" w:fill="F1F2F2"/>
          </w:tcPr>
          <w:p>
            <w:pPr>
              <w:spacing w:after="0"/>
              <w:rPr>
                <w:sz w:val="23"/>
                <w:szCs w:val="23"/>
                <w:color w:val="auto"/>
              </w:rPr>
            </w:pPr>
          </w:p>
        </w:tc>
        <w:tc>
          <w:tcPr>
            <w:tcW w:w="278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By Internet</w:t>
            </w:r>
          </w:p>
        </w:tc>
        <w:tc>
          <w:tcPr>
            <w:tcW w:w="20" w:type="dxa"/>
            <w:vAlign w:val="bottom"/>
            <w:shd w:val="clear" w:color="auto" w:fill="F1F2F2"/>
          </w:tcPr>
          <w:p>
            <w:pPr>
              <w:spacing w:after="0"/>
              <w:rPr>
                <w:sz w:val="23"/>
                <w:szCs w:val="23"/>
                <w:color w:val="auto"/>
              </w:rPr>
            </w:pPr>
          </w:p>
        </w:tc>
        <w:tc>
          <w:tcPr>
            <w:tcW w:w="294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By Phone</w:t>
            </w:r>
          </w:p>
        </w:tc>
        <w:tc>
          <w:tcPr>
            <w:tcW w:w="20" w:type="dxa"/>
            <w:vAlign w:val="bottom"/>
            <w:shd w:val="clear" w:color="auto" w:fill="F1F2F2"/>
          </w:tcPr>
          <w:p>
            <w:pPr>
              <w:spacing w:after="0"/>
              <w:rPr>
                <w:sz w:val="23"/>
                <w:szCs w:val="23"/>
                <w:color w:val="auto"/>
              </w:rPr>
            </w:pPr>
          </w:p>
        </w:tc>
        <w:tc>
          <w:tcPr>
            <w:tcW w:w="276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By Mail</w:t>
            </w: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80" w:type="dxa"/>
            <w:vAlign w:val="bottom"/>
            <w:shd w:val="clear" w:color="auto" w:fill="F1F2F2"/>
          </w:tcPr>
          <w:p>
            <w:pPr>
              <w:spacing w:after="0"/>
              <w:rPr>
                <w:sz w:val="16"/>
                <w:szCs w:val="16"/>
                <w:color w:val="auto"/>
              </w:rPr>
            </w:pPr>
          </w:p>
        </w:tc>
        <w:tc>
          <w:tcPr>
            <w:tcW w:w="2780" w:type="dxa"/>
            <w:vAlign w:val="bottom"/>
            <w:vMerge w:val="continue"/>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940" w:type="dxa"/>
            <w:vAlign w:val="bottom"/>
            <w:vMerge w:val="continue"/>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760" w:type="dxa"/>
            <w:vAlign w:val="bottom"/>
            <w:vMerge w:val="continue"/>
            <w:shd w:val="clear" w:color="auto" w:fill="F1F2F2"/>
          </w:tcPr>
          <w:p>
            <w:pPr>
              <w:spacing w:after="0"/>
              <w:rPr>
                <w:sz w:val="16"/>
                <w:szCs w:val="16"/>
                <w:color w:val="auto"/>
              </w:rPr>
            </w:pPr>
          </w:p>
        </w:tc>
        <w:tc>
          <w:tcPr>
            <w:tcW w:w="2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www.proxyvote.com</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1-800-690-6903</w:t>
            </w: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Mark, sign and date your proxy card</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F1F2F2"/>
          </w:tcPr>
          <w:p>
            <w:pPr>
              <w:spacing w:after="0"/>
              <w:rPr>
                <w:sz w:val="14"/>
                <w:szCs w:val="14"/>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Use the internet to transmit your voting</w:t>
            </w:r>
          </w:p>
        </w:tc>
        <w:tc>
          <w:tcPr>
            <w:tcW w:w="20" w:type="dxa"/>
            <w:vAlign w:val="bottom"/>
            <w:shd w:val="clear" w:color="auto" w:fill="000000"/>
          </w:tcPr>
          <w:p>
            <w:pPr>
              <w:spacing w:after="0"/>
              <w:rPr>
                <w:sz w:val="14"/>
                <w:szCs w:val="14"/>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Use any touch tone telephone to</w:t>
            </w:r>
          </w:p>
        </w:tc>
        <w:tc>
          <w:tcPr>
            <w:tcW w:w="20" w:type="dxa"/>
            <w:vAlign w:val="bottom"/>
            <w:shd w:val="clear" w:color="auto" w:fill="000000"/>
          </w:tcPr>
          <w:p>
            <w:pPr>
              <w:spacing w:after="0"/>
              <w:rPr>
                <w:sz w:val="14"/>
                <w:szCs w:val="14"/>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and return it in the postage-paid</w:t>
            </w:r>
          </w:p>
        </w:tc>
        <w:tc>
          <w:tcPr>
            <w:tcW w:w="26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instruction and for electronic delivery of</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transmit your voting instructions</w:t>
            </w: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envelope provided with your proxy</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information</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materials or return it to Vote</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Processing, c/o Broadridge,</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51 Mercedes Way,</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Borders>
              <w:bottom w:val="single" w:sz="8" w:color="F1F2F2"/>
            </w:tcBorders>
            <w:shd w:val="clear" w:color="auto" w:fill="F1F2F2"/>
          </w:tcPr>
          <w:p>
            <w:pPr>
              <w:spacing w:after="0"/>
              <w:rPr>
                <w:sz w:val="16"/>
                <w:szCs w:val="16"/>
                <w:color w:val="auto"/>
              </w:rPr>
            </w:pPr>
          </w:p>
        </w:tc>
        <w:tc>
          <w:tcPr>
            <w:tcW w:w="2780" w:type="dxa"/>
            <w:vAlign w:val="bottom"/>
            <w:tcBorders>
              <w:bottom w:val="single" w:sz="8" w:color="F1F2F2"/>
            </w:tcBorders>
            <w:shd w:val="clear" w:color="auto" w:fill="F1F2F2"/>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2940" w:type="dxa"/>
            <w:vAlign w:val="bottom"/>
            <w:tcBorders>
              <w:bottom w:val="single" w:sz="8" w:color="F1F2F2"/>
            </w:tcBorders>
            <w:shd w:val="clear" w:color="auto" w:fill="F1F2F2"/>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2760" w:type="dxa"/>
            <w:vAlign w:val="bottom"/>
            <w:tcBorders>
              <w:bottom w:val="single" w:sz="8" w:color="F1F2F2"/>
            </w:tcBorders>
            <w:shd w:val="clear" w:color="auto" w:fill="F1F2F2"/>
          </w:tcPr>
          <w:p>
            <w:pPr>
              <w:ind w:left="200"/>
              <w:spacing w:after="0"/>
              <w:rPr>
                <w:sz w:val="20"/>
                <w:szCs w:val="20"/>
                <w:color w:val="auto"/>
              </w:rPr>
            </w:pPr>
            <w:r>
              <w:rPr>
                <w:rFonts w:ascii="Arial" w:cs="Arial" w:eastAsia="Arial" w:hAnsi="Arial"/>
                <w:sz w:val="14"/>
                <w:szCs w:val="14"/>
                <w:color w:val="auto"/>
              </w:rPr>
              <w:t>Edgewood, NY 11717</w:t>
            </w:r>
          </w:p>
        </w:tc>
        <w:tc>
          <w:tcPr>
            <w:tcW w:w="260" w:type="dxa"/>
            <w:vAlign w:val="bottom"/>
            <w:tcBorders>
              <w:bottom w:val="single" w:sz="8" w:color="F1F2F2"/>
            </w:tcBorders>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F1F2F2"/>
          </w:tcPr>
          <w:p>
            <w:pPr>
              <w:spacing w:after="0"/>
              <w:rPr>
                <w:sz w:val="23"/>
                <w:szCs w:val="23"/>
                <w:color w:val="auto"/>
              </w:rPr>
            </w:pPr>
          </w:p>
        </w:tc>
        <w:tc>
          <w:tcPr>
            <w:tcW w:w="278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94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760" w:type="dxa"/>
            <w:vAlign w:val="bottom"/>
            <w:shd w:val="clear" w:color="auto" w:fill="F1F2F2"/>
          </w:tcPr>
          <w:p>
            <w:pPr>
              <w:spacing w:after="0"/>
              <w:rPr>
                <w:sz w:val="23"/>
                <w:szCs w:val="23"/>
                <w:color w:val="auto"/>
              </w:rPr>
            </w:pP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Corpay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Important Notice Regarding the Availability of Proxy Materials for the Shareholder Meeting to Be Held on May 7, 2026: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Proxy Statement and Annual Report to Shareholders are available at https://investor.corpay.com.</w:t>
      </w:r>
    </w:p>
    <w:p>
      <w:pPr>
        <w:sectPr>
          <w:pgSz w:w="11900" w:h="16838" w:orient="portrait"/>
          <w:cols w:equalWidth="0" w:num="1">
            <w:col w:w="9060"/>
          </w:cols>
          <w:pgMar w:left="1400" w:top="1440" w:right="1439" w:bottom="1440" w:gutter="0" w:footer="0" w:header="0"/>
          <w:type w:val="continuous"/>
        </w:sectPr>
      </w:pPr>
    </w:p>
    <w:bookmarkStart w:id="5" w:name="page6"/>
    <w:bookmarkEnd w:id="5"/>
    <w:p>
      <w:pPr>
        <w:spacing w:after="0" w:line="86" w:lineRule="exact"/>
        <w:rPr>
          <w:sz w:val="20"/>
          <w:szCs w:val="20"/>
          <w:color w:val="auto"/>
        </w:rPr>
      </w:pPr>
    </w:p>
    <w:p>
      <w:pPr>
        <w:spacing w:after="0"/>
        <w:rPr>
          <w:sz w:val="20"/>
          <w:szCs w:val="20"/>
          <w:color w:val="auto"/>
        </w:rPr>
      </w:pPr>
      <w:r>
        <w:rPr>
          <w:rFonts w:ascii="Arial" w:cs="Arial" w:eastAsia="Arial" w:hAnsi="Arial"/>
          <w:sz w:val="40"/>
          <w:szCs w:val="40"/>
          <w:color w:val="auto"/>
        </w:rPr>
        <w:t>Table of Contents</w:t>
      </w: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Arial" w:cs="Arial" w:eastAsia="Arial" w:hAnsi="Arial"/>
                <w:sz w:val="13"/>
                <w:szCs w:val="13"/>
                <w:color w:val="BE1549"/>
              </w:rPr>
              <w:t>01. SUMMARY</w:t>
            </w:r>
          </w:p>
        </w:tc>
        <w:tc>
          <w:tcPr>
            <w:tcW w:w="280" w:type="dxa"/>
            <w:vAlign w:val="bottom"/>
          </w:tcPr>
          <w:p>
            <w:pPr>
              <w:jc w:val="right"/>
              <w:spacing w:after="0"/>
              <w:rPr>
                <w:sz w:val="20"/>
                <w:szCs w:val="20"/>
                <w:color w:val="auto"/>
              </w:rPr>
            </w:pPr>
            <w:r>
              <w:rPr>
                <w:rFonts w:ascii="Arial" w:cs="Arial" w:eastAsia="Arial" w:hAnsi="Arial"/>
                <w:sz w:val="13"/>
                <w:szCs w:val="13"/>
                <w:color w:val="BE1549"/>
              </w:rPr>
              <w:t>1</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Arial" w:cs="Arial" w:eastAsia="Arial" w:hAnsi="Arial"/>
                <w:sz w:val="13"/>
                <w:szCs w:val="13"/>
                <w:color w:val="auto"/>
              </w:rPr>
              <w:t>Information About Our 2026 Annual Meeting</w:t>
            </w: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3980" w:type="dxa"/>
            <w:vAlign w:val="bottom"/>
          </w:tcPr>
          <w:p>
            <w:pPr>
              <w:ind w:left="180"/>
              <w:spacing w:after="0"/>
              <w:rPr>
                <w:sz w:val="20"/>
                <w:szCs w:val="20"/>
                <w:color w:val="auto"/>
              </w:rPr>
            </w:pPr>
            <w:r>
              <w:rPr>
                <w:rFonts w:ascii="Arial" w:cs="Arial" w:eastAsia="Arial" w:hAnsi="Arial"/>
                <w:sz w:val="13"/>
                <w:szCs w:val="13"/>
                <w:color w:val="auto"/>
              </w:rPr>
              <w:t>Proposals and Board Recommendations</w:t>
            </w: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7"/>
        </w:trPr>
        <w:tc>
          <w:tcPr>
            <w:tcW w:w="3980" w:type="dxa"/>
            <w:vAlign w:val="bottom"/>
          </w:tcPr>
          <w:p>
            <w:pPr>
              <w:spacing w:after="0"/>
              <w:rPr>
                <w:sz w:val="20"/>
                <w:szCs w:val="20"/>
                <w:color w:val="auto"/>
              </w:rPr>
            </w:pPr>
            <w:r>
              <w:rPr>
                <w:rFonts w:ascii="Arial" w:cs="Arial" w:eastAsia="Arial" w:hAnsi="Arial"/>
                <w:sz w:val="13"/>
                <w:szCs w:val="13"/>
                <w:color w:val="BE1549"/>
              </w:rPr>
              <w:t>02. CORPAY AT A GLANCE</w:t>
            </w:r>
          </w:p>
        </w:tc>
        <w:tc>
          <w:tcPr>
            <w:tcW w:w="280" w:type="dxa"/>
            <w:vAlign w:val="bottom"/>
          </w:tcPr>
          <w:p>
            <w:pPr>
              <w:jc w:val="right"/>
              <w:spacing w:after="0"/>
              <w:rPr>
                <w:sz w:val="20"/>
                <w:szCs w:val="20"/>
                <w:color w:val="auto"/>
              </w:rPr>
            </w:pPr>
            <w:r>
              <w:rPr>
                <w:rFonts w:ascii="Arial" w:cs="Arial" w:eastAsia="Arial" w:hAnsi="Arial"/>
                <w:sz w:val="13"/>
                <w:szCs w:val="13"/>
                <w:color w:val="BE1549"/>
              </w:rPr>
              <w:t>2</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Our Vision</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Our Mission</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Our Strategy</w:t>
            </w: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Our Performance</w:t>
            </w: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Our Board of Directors</w:t>
            </w: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Forward-Leaning Corporate Governance</w:t>
            </w: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Forward-Leaning Compensation Practices</w:t>
            </w: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3980" w:type="dxa"/>
            <w:vAlign w:val="bottom"/>
          </w:tcPr>
          <w:p>
            <w:pPr>
              <w:ind w:left="180"/>
              <w:spacing w:after="0" w:line="135" w:lineRule="exact"/>
              <w:rPr>
                <w:sz w:val="20"/>
                <w:szCs w:val="20"/>
                <w:color w:val="auto"/>
              </w:rPr>
            </w:pPr>
            <w:r>
              <w:rPr>
                <w:rFonts w:ascii="Arial" w:cs="Arial" w:eastAsia="Arial" w:hAnsi="Arial"/>
                <w:sz w:val="13"/>
                <w:szCs w:val="13"/>
                <w:color w:val="auto"/>
              </w:rPr>
              <w:t>Shareholder Engagement Results</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9"/>
        </w:trPr>
        <w:tc>
          <w:tcPr>
            <w:tcW w:w="3980" w:type="dxa"/>
            <w:vAlign w:val="bottom"/>
          </w:tcPr>
          <w:p>
            <w:pPr>
              <w:ind w:left="180"/>
              <w:spacing w:after="0"/>
              <w:rPr>
                <w:sz w:val="20"/>
                <w:szCs w:val="20"/>
                <w:color w:val="auto"/>
              </w:rPr>
            </w:pPr>
            <w:r>
              <w:rPr>
                <w:rFonts w:ascii="Arial" w:cs="Arial" w:eastAsia="Arial" w:hAnsi="Arial"/>
                <w:sz w:val="13"/>
                <w:szCs w:val="13"/>
                <w:color w:val="auto"/>
              </w:rPr>
              <w:t>Our Commitment to Corporate Responsibility</w:t>
            </w:r>
          </w:p>
        </w:tc>
        <w:tc>
          <w:tcPr>
            <w:tcW w:w="2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Talent Acquisition and Development</w:t>
            </w:r>
          </w:p>
        </w:tc>
        <w:tc>
          <w:tcPr>
            <w:tcW w:w="2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Health and Wellness</w:t>
            </w:r>
          </w:p>
        </w:tc>
        <w:tc>
          <w:tcPr>
            <w:tcW w:w="2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Arial" w:cs="Arial" w:eastAsia="Arial" w:hAnsi="Arial"/>
                <w:sz w:val="13"/>
                <w:szCs w:val="13"/>
                <w:color w:val="auto"/>
              </w:rPr>
              <w:t>Voice of the Employee</w:t>
            </w:r>
          </w:p>
        </w:tc>
        <w:tc>
          <w:tcPr>
            <w:tcW w:w="2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51"/>
        </w:trPr>
        <w:tc>
          <w:tcPr>
            <w:tcW w:w="3980" w:type="dxa"/>
            <w:vAlign w:val="bottom"/>
          </w:tcPr>
          <w:p>
            <w:pPr>
              <w:spacing w:after="0"/>
              <w:rPr>
                <w:sz w:val="20"/>
                <w:szCs w:val="20"/>
                <w:color w:val="auto"/>
              </w:rPr>
            </w:pPr>
            <w:r>
              <w:rPr>
                <w:rFonts w:ascii="Arial" w:cs="Arial" w:eastAsia="Arial" w:hAnsi="Arial"/>
                <w:sz w:val="13"/>
                <w:szCs w:val="13"/>
                <w:color w:val="BE1549"/>
              </w:rPr>
              <w:t>03. CORPORATE GOVERNANCE AND BOARD MATTERS</w:t>
            </w:r>
          </w:p>
        </w:tc>
        <w:tc>
          <w:tcPr>
            <w:tcW w:w="280" w:type="dxa"/>
            <w:vAlign w:val="bottom"/>
          </w:tcPr>
          <w:p>
            <w:pPr>
              <w:jc w:val="right"/>
              <w:spacing w:after="0"/>
              <w:rPr>
                <w:sz w:val="20"/>
                <w:szCs w:val="20"/>
                <w:color w:val="auto"/>
              </w:rPr>
            </w:pPr>
            <w:r>
              <w:rPr>
                <w:rFonts w:ascii="Arial" w:cs="Arial" w:eastAsia="Arial" w:hAnsi="Arial"/>
                <w:sz w:val="13"/>
                <w:szCs w:val="13"/>
                <w:color w:val="BE1549"/>
              </w:rPr>
              <w:t>9</w:t>
            </w:r>
          </w:p>
        </w:tc>
        <w:tc>
          <w:tcPr>
            <w:tcW w:w="0" w:type="dxa"/>
            <w:vAlign w:val="bottom"/>
          </w:tcPr>
          <w:p>
            <w:pPr>
              <w:spacing w:after="0"/>
              <w:rPr>
                <w:sz w:val="1"/>
                <w:szCs w:val="1"/>
                <w:color w:val="auto"/>
              </w:rPr>
            </w:pPr>
          </w:p>
        </w:tc>
      </w:tr>
      <w:tr>
        <w:trPr>
          <w:trHeight w:val="185"/>
        </w:trPr>
        <w:tc>
          <w:tcPr>
            <w:tcW w:w="3980" w:type="dxa"/>
            <w:vAlign w:val="bottom"/>
          </w:tcPr>
          <w:p>
            <w:pPr>
              <w:ind w:left="180"/>
              <w:spacing w:after="0"/>
              <w:rPr>
                <w:sz w:val="20"/>
                <w:szCs w:val="20"/>
                <w:color w:val="auto"/>
              </w:rPr>
            </w:pPr>
            <w:r>
              <w:rPr>
                <w:rFonts w:ascii="Arial" w:cs="Arial" w:eastAsia="Arial" w:hAnsi="Arial"/>
                <w:sz w:val="13"/>
                <w:szCs w:val="13"/>
                <w:color w:val="auto"/>
              </w:rPr>
              <w:t>Our Board of Directors</w:t>
            </w:r>
          </w:p>
        </w:tc>
        <w:tc>
          <w:tcPr>
            <w:tcW w:w="28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Director Nominees</w:t>
            </w:r>
          </w:p>
        </w:tc>
        <w:tc>
          <w:tcPr>
            <w:tcW w:w="28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Evaluation and Evolution of Our Board</w:t>
            </w:r>
          </w:p>
        </w:tc>
        <w:tc>
          <w:tcPr>
            <w:tcW w:w="28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Board Meetings and Committees</w:t>
            </w:r>
          </w:p>
        </w:tc>
        <w:tc>
          <w:tcPr>
            <w:tcW w:w="28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Board Committee Membership</w:t>
            </w:r>
          </w:p>
        </w:tc>
        <w:tc>
          <w:tcPr>
            <w:tcW w:w="28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Risk Oversight</w:t>
            </w: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Board Leadership Structure</w:t>
            </w: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Director Independence</w:t>
            </w: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2025 Director Compensation</w:t>
            </w: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Director Qualifications</w:t>
            </w:r>
          </w:p>
        </w:tc>
        <w:tc>
          <w:tcPr>
            <w:tcW w:w="28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Director Nomination Process</w:t>
            </w:r>
          </w:p>
        </w:tc>
        <w:tc>
          <w:tcPr>
            <w:tcW w:w="28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Arial" w:cs="Arial" w:eastAsia="Arial" w:hAnsi="Arial"/>
                <w:sz w:val="13"/>
                <w:szCs w:val="13"/>
                <w:color w:val="auto"/>
              </w:rPr>
              <w:t>Governance Policies</w:t>
            </w:r>
          </w:p>
        </w:tc>
        <w:tc>
          <w:tcPr>
            <w:tcW w:w="28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93"/>
        </w:trPr>
        <w:tc>
          <w:tcPr>
            <w:tcW w:w="3980" w:type="dxa"/>
            <w:vAlign w:val="bottom"/>
          </w:tcPr>
          <w:p>
            <w:pPr>
              <w:spacing w:after="0"/>
              <w:rPr>
                <w:sz w:val="20"/>
                <w:szCs w:val="20"/>
                <w:color w:val="auto"/>
              </w:rPr>
            </w:pPr>
            <w:r>
              <w:rPr>
                <w:rFonts w:ascii="Arial" w:cs="Arial" w:eastAsia="Arial" w:hAnsi="Arial"/>
                <w:sz w:val="13"/>
                <w:szCs w:val="13"/>
                <w:color w:val="BE1549"/>
              </w:rPr>
              <w:t>04. INFORMATION REGARDING BENEFICIAL OWNERSHIP OF</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BE1549"/>
              </w:rPr>
              <w:t>22</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Arial" w:cs="Arial" w:eastAsia="Arial" w:hAnsi="Arial"/>
                <w:sz w:val="13"/>
                <w:szCs w:val="13"/>
                <w:color w:val="BE1549"/>
              </w:rPr>
              <w:t>PRINCIPAL SHAREHOLDERS, DIRECTORS, AND MANAGEMENT</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3980" w:type="dxa"/>
            <w:vAlign w:val="bottom"/>
          </w:tcPr>
          <w:p>
            <w:pPr>
              <w:spacing w:after="0"/>
              <w:rPr>
                <w:sz w:val="20"/>
                <w:szCs w:val="20"/>
                <w:color w:val="auto"/>
              </w:rPr>
            </w:pPr>
            <w:r>
              <w:rPr>
                <w:rFonts w:ascii="Arial" w:cs="Arial" w:eastAsia="Arial" w:hAnsi="Arial"/>
                <w:sz w:val="13"/>
                <w:szCs w:val="13"/>
                <w:color w:val="BE1549"/>
              </w:rPr>
              <w:t>05. COMPENSATION DISCUSSION AND ANALYSIS</w:t>
            </w:r>
          </w:p>
        </w:tc>
        <w:tc>
          <w:tcPr>
            <w:tcW w:w="280" w:type="dxa"/>
            <w:vAlign w:val="bottom"/>
          </w:tcPr>
          <w:p>
            <w:pPr>
              <w:jc w:val="right"/>
              <w:spacing w:after="0"/>
              <w:rPr>
                <w:sz w:val="20"/>
                <w:szCs w:val="20"/>
                <w:color w:val="auto"/>
              </w:rPr>
            </w:pPr>
            <w:r>
              <w:rPr>
                <w:rFonts w:ascii="Arial" w:cs="Arial" w:eastAsia="Arial" w:hAnsi="Arial"/>
                <w:sz w:val="13"/>
                <w:szCs w:val="13"/>
                <w:color w:val="BE1549"/>
              </w:rPr>
              <w:t>24</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Leadership Transitions in 2025</w:t>
            </w:r>
          </w:p>
        </w:tc>
        <w:tc>
          <w:tcPr>
            <w:tcW w:w="2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2025 Performance</w:t>
            </w:r>
          </w:p>
        </w:tc>
        <w:tc>
          <w:tcPr>
            <w:tcW w:w="2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Responsiveness to 2025 Say-On-Pay Vote</w:t>
            </w:r>
          </w:p>
        </w:tc>
        <w:tc>
          <w:tcPr>
            <w:tcW w:w="2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Shareholder Outreach Process</w:t>
            </w:r>
          </w:p>
        </w:tc>
        <w:tc>
          <w:tcPr>
            <w:tcW w:w="2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2021-2025 CEO Equity Compensation</w:t>
            </w:r>
          </w:p>
        </w:tc>
        <w:tc>
          <w:tcPr>
            <w:tcW w:w="28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3980" w:type="dxa"/>
            <w:vAlign w:val="bottom"/>
          </w:tcPr>
          <w:p>
            <w:pPr>
              <w:ind w:left="180"/>
              <w:spacing w:after="0" w:line="135" w:lineRule="exact"/>
              <w:rPr>
                <w:sz w:val="20"/>
                <w:szCs w:val="20"/>
                <w:color w:val="auto"/>
              </w:rPr>
            </w:pPr>
            <w:r>
              <w:rPr>
                <w:rFonts w:ascii="Arial" w:cs="Arial" w:eastAsia="Arial" w:hAnsi="Arial"/>
                <w:sz w:val="13"/>
                <w:szCs w:val="13"/>
                <w:color w:val="auto"/>
              </w:rPr>
              <w:t>Forward-Leaning Compensation Practices</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Components of Compensation and Target Direct Compensation</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9"/>
        </w:trPr>
        <w:tc>
          <w:tcPr>
            <w:tcW w:w="3980" w:type="dxa"/>
            <w:vAlign w:val="bottom"/>
          </w:tcPr>
          <w:p>
            <w:pPr>
              <w:ind w:left="180"/>
              <w:spacing w:after="0"/>
              <w:rPr>
                <w:sz w:val="20"/>
                <w:szCs w:val="20"/>
                <w:color w:val="auto"/>
              </w:rPr>
            </w:pPr>
            <w:r>
              <w:rPr>
                <w:rFonts w:ascii="Arial" w:cs="Arial" w:eastAsia="Arial" w:hAnsi="Arial"/>
                <w:sz w:val="13"/>
                <w:szCs w:val="13"/>
                <w:color w:val="auto"/>
              </w:rPr>
              <w:t>Mix</w:t>
            </w: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180"/>
              <w:spacing w:after="0" w:line="135" w:lineRule="exact"/>
              <w:rPr>
                <w:sz w:val="20"/>
                <w:szCs w:val="20"/>
                <w:color w:val="auto"/>
              </w:rPr>
            </w:pPr>
            <w:r>
              <w:rPr>
                <w:rFonts w:ascii="Arial" w:cs="Arial" w:eastAsia="Arial" w:hAnsi="Arial"/>
                <w:sz w:val="13"/>
                <w:szCs w:val="13"/>
                <w:color w:val="auto"/>
              </w:rPr>
              <w:t>Target Mix of Compensation</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9"/>
        </w:trPr>
        <w:tc>
          <w:tcPr>
            <w:tcW w:w="3980" w:type="dxa"/>
            <w:vAlign w:val="bottom"/>
          </w:tcPr>
          <w:p>
            <w:pPr>
              <w:ind w:left="180"/>
              <w:spacing w:after="0"/>
              <w:rPr>
                <w:sz w:val="20"/>
                <w:szCs w:val="20"/>
                <w:color w:val="auto"/>
              </w:rPr>
            </w:pPr>
            <w:r>
              <w:rPr>
                <w:rFonts w:ascii="Arial" w:cs="Arial" w:eastAsia="Arial" w:hAnsi="Arial"/>
                <w:sz w:val="13"/>
                <w:szCs w:val="13"/>
                <w:color w:val="auto"/>
              </w:rPr>
              <w:t>Key Elements of 2025 Named Executive Officer Compensation</w:t>
            </w:r>
          </w:p>
        </w:tc>
        <w:tc>
          <w:tcPr>
            <w:tcW w:w="28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Base Salary</w:t>
            </w:r>
          </w:p>
        </w:tc>
        <w:tc>
          <w:tcPr>
            <w:tcW w:w="28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Equity Incentives</w:t>
            </w:r>
          </w:p>
        </w:tc>
        <w:tc>
          <w:tcPr>
            <w:tcW w:w="28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5"/>
        </w:trPr>
        <w:tc>
          <w:tcPr>
            <w:tcW w:w="3980" w:type="dxa"/>
            <w:vAlign w:val="bottom"/>
          </w:tcPr>
          <w:p>
            <w:pPr>
              <w:ind w:left="180"/>
              <w:spacing w:after="0" w:line="135" w:lineRule="exact"/>
              <w:rPr>
                <w:sz w:val="20"/>
                <w:szCs w:val="20"/>
                <w:color w:val="auto"/>
              </w:rPr>
            </w:pPr>
            <w:r>
              <w:rPr>
                <w:rFonts w:ascii="Arial" w:cs="Arial" w:eastAsia="Arial" w:hAnsi="Arial"/>
                <w:sz w:val="13"/>
                <w:szCs w:val="13"/>
                <w:color w:val="auto"/>
              </w:rPr>
              <w:t>NEO 2025 Equity Awards</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9"/>
        </w:trPr>
        <w:tc>
          <w:tcPr>
            <w:tcW w:w="3980" w:type="dxa"/>
            <w:vAlign w:val="bottom"/>
          </w:tcPr>
          <w:p>
            <w:pPr>
              <w:ind w:left="180"/>
              <w:spacing w:after="0"/>
              <w:rPr>
                <w:sz w:val="20"/>
                <w:szCs w:val="20"/>
                <w:color w:val="auto"/>
              </w:rPr>
            </w:pPr>
            <w:r>
              <w:rPr>
                <w:rFonts w:ascii="Arial" w:cs="Arial" w:eastAsia="Arial" w:hAnsi="Arial"/>
                <w:sz w:val="13"/>
                <w:szCs w:val="13"/>
                <w:color w:val="auto"/>
              </w:rPr>
              <w:t>Performance-Based Equity</w:t>
            </w:r>
          </w:p>
        </w:tc>
        <w:tc>
          <w:tcPr>
            <w:tcW w:w="2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Company Annual Equity Incentive</w:t>
            </w:r>
          </w:p>
        </w:tc>
        <w:tc>
          <w:tcPr>
            <w:tcW w:w="2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Annual Bonus Equity Incentive</w:t>
            </w:r>
          </w:p>
        </w:tc>
        <w:tc>
          <w:tcPr>
            <w:tcW w:w="28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Long-Term Equity Incentive</w:t>
            </w:r>
          </w:p>
        </w:tc>
        <w:tc>
          <w:tcPr>
            <w:tcW w:w="28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Time-Based Equity</w:t>
            </w:r>
          </w:p>
        </w:tc>
        <w:tc>
          <w:tcPr>
            <w:tcW w:w="28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48"/>
        </w:trPr>
        <w:tc>
          <w:tcPr>
            <w:tcW w:w="3980" w:type="dxa"/>
            <w:vAlign w:val="bottom"/>
          </w:tcPr>
          <w:p>
            <w:pPr>
              <w:ind w:left="180"/>
              <w:spacing w:after="0"/>
              <w:rPr>
                <w:sz w:val="20"/>
                <w:szCs w:val="20"/>
                <w:color w:val="auto"/>
              </w:rPr>
            </w:pPr>
            <w:r>
              <w:rPr>
                <w:rFonts w:ascii="Arial" w:cs="Arial" w:eastAsia="Arial" w:hAnsi="Arial"/>
                <w:sz w:val="13"/>
                <w:szCs w:val="13"/>
                <w:color w:val="auto"/>
              </w:rPr>
              <w:t>Stock Options</w:t>
            </w:r>
          </w:p>
        </w:tc>
        <w:tc>
          <w:tcPr>
            <w:tcW w:w="28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2025 Performance-Based Equity Goals and Payout Results</w:t>
            </w:r>
          </w:p>
        </w:tc>
        <w:tc>
          <w:tcPr>
            <w:tcW w:w="28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Other Compensation and Benefits</w:t>
            </w:r>
          </w:p>
        </w:tc>
        <w:tc>
          <w:tcPr>
            <w:tcW w:w="28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Process to Review, Revise, and Set Compensation</w:t>
            </w:r>
          </w:p>
        </w:tc>
        <w:tc>
          <w:tcPr>
            <w:tcW w:w="28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Compensation Peer Group</w:t>
            </w:r>
          </w:p>
        </w:tc>
        <w:tc>
          <w:tcPr>
            <w:tcW w:w="28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Arial" w:cs="Arial" w:eastAsia="Arial" w:hAnsi="Arial"/>
                <w:sz w:val="13"/>
                <w:szCs w:val="13"/>
                <w:color w:val="auto"/>
              </w:rPr>
              <w:t>Information on Other Compensation-Related Topics</w:t>
            </w:r>
          </w:p>
        </w:tc>
        <w:tc>
          <w:tcPr>
            <w:tcW w:w="28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324"/>
        </w:trPr>
        <w:tc>
          <w:tcPr>
            <w:tcW w:w="3980" w:type="dxa"/>
            <w:vAlign w:val="bottom"/>
          </w:tcPr>
          <w:p>
            <w:pPr>
              <w:spacing w:after="0"/>
              <w:rPr>
                <w:sz w:val="20"/>
                <w:szCs w:val="20"/>
                <w:color w:val="auto"/>
              </w:rPr>
            </w:pPr>
            <w:r>
              <w:rPr>
                <w:rFonts w:ascii="Arial" w:cs="Arial" w:eastAsia="Arial" w:hAnsi="Arial"/>
                <w:sz w:val="13"/>
                <w:szCs w:val="13"/>
                <w:color w:val="BE1549"/>
              </w:rPr>
              <w:t>06. 2025 NAMED EXECUTIVE OFFICER COMPENSATION</w:t>
            </w:r>
          </w:p>
        </w:tc>
        <w:tc>
          <w:tcPr>
            <w:tcW w:w="280" w:type="dxa"/>
            <w:vAlign w:val="bottom"/>
          </w:tcPr>
          <w:p>
            <w:pPr>
              <w:jc w:val="right"/>
              <w:spacing w:after="0"/>
              <w:rPr>
                <w:sz w:val="20"/>
                <w:szCs w:val="20"/>
                <w:color w:val="auto"/>
              </w:rPr>
            </w:pPr>
            <w:r>
              <w:rPr>
                <w:rFonts w:ascii="Arial" w:cs="Arial" w:eastAsia="Arial" w:hAnsi="Arial"/>
                <w:sz w:val="13"/>
                <w:szCs w:val="13"/>
                <w:color w:val="BE1549"/>
              </w:rPr>
              <w:t>45</w:t>
            </w:r>
          </w:p>
        </w:tc>
        <w:tc>
          <w:tcPr>
            <w:tcW w:w="0" w:type="dxa"/>
            <w:vAlign w:val="bottom"/>
          </w:tcPr>
          <w:p>
            <w:pPr>
              <w:spacing w:after="0"/>
              <w:rPr>
                <w:sz w:val="1"/>
                <w:szCs w:val="1"/>
                <w:color w:val="auto"/>
              </w:rPr>
            </w:pPr>
          </w:p>
        </w:tc>
      </w:tr>
      <w:tr>
        <w:trPr>
          <w:trHeight w:val="185"/>
        </w:trPr>
        <w:tc>
          <w:tcPr>
            <w:tcW w:w="3980" w:type="dxa"/>
            <w:vAlign w:val="bottom"/>
          </w:tcPr>
          <w:p>
            <w:pPr>
              <w:ind w:left="180"/>
              <w:spacing w:after="0"/>
              <w:rPr>
                <w:sz w:val="20"/>
                <w:szCs w:val="20"/>
                <w:color w:val="auto"/>
              </w:rPr>
            </w:pPr>
            <w:r>
              <w:rPr>
                <w:rFonts w:ascii="Arial" w:cs="Arial" w:eastAsia="Arial" w:hAnsi="Arial"/>
                <w:sz w:val="13"/>
                <w:szCs w:val="13"/>
                <w:color w:val="auto"/>
              </w:rPr>
              <w:t>2025 Summary Compensation Table</w:t>
            </w:r>
          </w:p>
        </w:tc>
        <w:tc>
          <w:tcPr>
            <w:tcW w:w="28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2025 Grants of Plan-Based Awards</w:t>
            </w:r>
          </w:p>
        </w:tc>
        <w:tc>
          <w:tcPr>
            <w:tcW w:w="28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Outstanding Equity Awards at 2025 Fiscal Year-End</w:t>
            </w:r>
          </w:p>
        </w:tc>
        <w:tc>
          <w:tcPr>
            <w:tcW w:w="28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2"/>
        </w:trPr>
        <w:tc>
          <w:tcPr>
            <w:tcW w:w="3980" w:type="dxa"/>
            <w:vAlign w:val="bottom"/>
          </w:tcPr>
          <w:p>
            <w:pPr>
              <w:ind w:left="180"/>
              <w:spacing w:after="0"/>
              <w:rPr>
                <w:sz w:val="20"/>
                <w:szCs w:val="20"/>
                <w:color w:val="auto"/>
              </w:rPr>
            </w:pPr>
            <w:r>
              <w:rPr>
                <w:rFonts w:ascii="Arial" w:cs="Arial" w:eastAsia="Arial" w:hAnsi="Arial"/>
                <w:sz w:val="13"/>
                <w:szCs w:val="13"/>
                <w:color w:val="auto"/>
              </w:rPr>
              <w:t>2025 Option Exercises and Stock Vested</w:t>
            </w:r>
          </w:p>
        </w:tc>
        <w:tc>
          <w:tcPr>
            <w:tcW w:w="28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Arial" w:cs="Arial" w:eastAsia="Arial" w:hAnsi="Arial"/>
                <w:sz w:val="13"/>
                <w:szCs w:val="13"/>
                <w:color w:val="auto"/>
              </w:rPr>
              <w:t>Potential Payments Upon Termination or Change in Control</w:t>
            </w:r>
          </w:p>
        </w:tc>
        <w:tc>
          <w:tcPr>
            <w:tcW w:w="28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ind w:left="160"/>
              <w:spacing w:after="0"/>
              <w:rPr>
                <w:sz w:val="20"/>
                <w:szCs w:val="20"/>
                <w:color w:val="auto"/>
              </w:rPr>
            </w:pPr>
            <w:r>
              <w:rPr>
                <w:rFonts w:ascii="Arial" w:cs="Arial" w:eastAsia="Arial" w:hAnsi="Arial"/>
                <w:sz w:val="13"/>
                <w:szCs w:val="13"/>
                <w:color w:val="auto"/>
              </w:rPr>
              <w:t>Employment Agreements, Severance and Change in Control</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Benefits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Other NEOs</w:t>
            </w:r>
          </w:p>
        </w:tc>
        <w:tc>
          <w:tcPr>
            <w:tcW w:w="34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Equity Awards</w:t>
            </w:r>
          </w:p>
        </w:tc>
        <w:tc>
          <w:tcPr>
            <w:tcW w:w="34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6"/>
        </w:trPr>
        <w:tc>
          <w:tcPr>
            <w:tcW w:w="3920" w:type="dxa"/>
            <w:vAlign w:val="bottom"/>
          </w:tcPr>
          <w:p>
            <w:pPr>
              <w:ind w:left="160"/>
              <w:spacing w:after="0"/>
              <w:rPr>
                <w:sz w:val="20"/>
                <w:szCs w:val="20"/>
                <w:color w:val="auto"/>
              </w:rPr>
            </w:pPr>
            <w:r>
              <w:rPr>
                <w:rFonts w:ascii="Arial" w:cs="Arial" w:eastAsia="Arial" w:hAnsi="Arial"/>
                <w:sz w:val="13"/>
                <w:szCs w:val="13"/>
                <w:color w:val="auto"/>
              </w:rPr>
              <w:t>Quantification of Potential Payments</w:t>
            </w:r>
          </w:p>
        </w:tc>
        <w:tc>
          <w:tcPr>
            <w:tcW w:w="34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324"/>
        </w:trPr>
        <w:tc>
          <w:tcPr>
            <w:tcW w:w="3920" w:type="dxa"/>
            <w:vAlign w:val="bottom"/>
          </w:tcPr>
          <w:p>
            <w:pPr>
              <w:spacing w:after="0"/>
              <w:rPr>
                <w:sz w:val="20"/>
                <w:szCs w:val="20"/>
                <w:color w:val="auto"/>
              </w:rPr>
            </w:pPr>
            <w:r>
              <w:rPr>
                <w:rFonts w:ascii="Arial" w:cs="Arial" w:eastAsia="Arial" w:hAnsi="Arial"/>
                <w:sz w:val="13"/>
                <w:szCs w:val="13"/>
                <w:color w:val="BE1549"/>
              </w:rPr>
              <w:t>07. EQUITY COMPENSATION PLAN INFORMATION</w:t>
            </w:r>
          </w:p>
        </w:tc>
        <w:tc>
          <w:tcPr>
            <w:tcW w:w="340" w:type="dxa"/>
            <w:vAlign w:val="bottom"/>
          </w:tcPr>
          <w:p>
            <w:pPr>
              <w:jc w:val="right"/>
              <w:spacing w:after="0"/>
              <w:rPr>
                <w:sz w:val="20"/>
                <w:szCs w:val="20"/>
                <w:color w:val="auto"/>
              </w:rPr>
            </w:pPr>
            <w:r>
              <w:rPr>
                <w:rFonts w:ascii="Arial" w:cs="Arial" w:eastAsia="Arial" w:hAnsi="Arial"/>
                <w:sz w:val="13"/>
                <w:szCs w:val="13"/>
                <w:color w:val="BE1549"/>
              </w:rPr>
              <w:t>54</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3"/>
                <w:szCs w:val="13"/>
                <w:color w:val="BE1549"/>
              </w:rPr>
              <w:t>08. COMPENSATION COMMITTEE REPORT</w:t>
            </w:r>
          </w:p>
        </w:tc>
        <w:tc>
          <w:tcPr>
            <w:tcW w:w="340" w:type="dxa"/>
            <w:vAlign w:val="bottom"/>
          </w:tcPr>
          <w:p>
            <w:pPr>
              <w:jc w:val="right"/>
              <w:spacing w:after="0"/>
              <w:rPr>
                <w:sz w:val="20"/>
                <w:szCs w:val="20"/>
                <w:color w:val="auto"/>
              </w:rPr>
            </w:pPr>
            <w:r>
              <w:rPr>
                <w:rFonts w:ascii="Arial" w:cs="Arial" w:eastAsia="Arial" w:hAnsi="Arial"/>
                <w:sz w:val="13"/>
                <w:szCs w:val="13"/>
                <w:color w:val="BE1549"/>
              </w:rPr>
              <w:t>55</w:t>
            </w:r>
          </w:p>
        </w:tc>
        <w:tc>
          <w:tcPr>
            <w:tcW w:w="0" w:type="dxa"/>
            <w:vAlign w:val="bottom"/>
          </w:tcPr>
          <w:p>
            <w:pPr>
              <w:spacing w:after="0"/>
              <w:rPr>
                <w:sz w:val="1"/>
                <w:szCs w:val="1"/>
                <w:color w:val="auto"/>
              </w:rPr>
            </w:pPr>
          </w:p>
        </w:tc>
      </w:tr>
      <w:tr>
        <w:trPr>
          <w:trHeight w:val="334"/>
        </w:trPr>
        <w:tc>
          <w:tcPr>
            <w:tcW w:w="3920" w:type="dxa"/>
            <w:vAlign w:val="bottom"/>
          </w:tcPr>
          <w:p>
            <w:pPr>
              <w:spacing w:after="0"/>
              <w:rPr>
                <w:sz w:val="20"/>
                <w:szCs w:val="20"/>
                <w:color w:val="auto"/>
              </w:rPr>
            </w:pPr>
            <w:r>
              <w:rPr>
                <w:rFonts w:ascii="Arial" w:cs="Arial" w:eastAsia="Arial" w:hAnsi="Arial"/>
                <w:sz w:val="13"/>
                <w:szCs w:val="13"/>
                <w:color w:val="BE1549"/>
              </w:rPr>
              <w:t>09. COMPENSATION COMMITTEE INTERLOCKS AND INSIDER</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BE1549"/>
              </w:rPr>
              <w:t>56</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Arial" w:cs="Arial" w:eastAsia="Arial" w:hAnsi="Arial"/>
                <w:sz w:val="13"/>
                <w:szCs w:val="13"/>
                <w:color w:val="BE1549"/>
              </w:rPr>
              <w:t>PARTICIPATION</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920" w:type="dxa"/>
            <w:vAlign w:val="bottom"/>
          </w:tcPr>
          <w:p>
            <w:pPr>
              <w:spacing w:after="0"/>
              <w:rPr>
                <w:sz w:val="20"/>
                <w:szCs w:val="20"/>
                <w:color w:val="auto"/>
              </w:rPr>
            </w:pPr>
            <w:r>
              <w:rPr>
                <w:rFonts w:ascii="Arial" w:cs="Arial" w:eastAsia="Arial" w:hAnsi="Arial"/>
                <w:sz w:val="13"/>
                <w:szCs w:val="13"/>
                <w:color w:val="BE1549"/>
              </w:rPr>
              <w:t>10. CEO PAY RATIO</w:t>
            </w:r>
          </w:p>
        </w:tc>
        <w:tc>
          <w:tcPr>
            <w:tcW w:w="340" w:type="dxa"/>
            <w:vAlign w:val="bottom"/>
          </w:tcPr>
          <w:p>
            <w:pPr>
              <w:jc w:val="right"/>
              <w:spacing w:after="0"/>
              <w:rPr>
                <w:sz w:val="20"/>
                <w:szCs w:val="20"/>
                <w:color w:val="auto"/>
              </w:rPr>
            </w:pPr>
            <w:r>
              <w:rPr>
                <w:rFonts w:ascii="Arial" w:cs="Arial" w:eastAsia="Arial" w:hAnsi="Arial"/>
                <w:sz w:val="13"/>
                <w:szCs w:val="13"/>
                <w:color w:val="BE1549"/>
              </w:rPr>
              <w:t>57</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3"/>
                <w:szCs w:val="13"/>
                <w:color w:val="BE1549"/>
              </w:rPr>
              <w:t>11. PAY VERSUS PERFORMANCE DISCLOSURE</w:t>
            </w:r>
          </w:p>
        </w:tc>
        <w:tc>
          <w:tcPr>
            <w:tcW w:w="340" w:type="dxa"/>
            <w:vAlign w:val="bottom"/>
          </w:tcPr>
          <w:p>
            <w:pPr>
              <w:jc w:val="right"/>
              <w:spacing w:after="0"/>
              <w:rPr>
                <w:sz w:val="20"/>
                <w:szCs w:val="20"/>
                <w:color w:val="auto"/>
              </w:rPr>
            </w:pPr>
            <w:r>
              <w:rPr>
                <w:rFonts w:ascii="Arial" w:cs="Arial" w:eastAsia="Arial" w:hAnsi="Arial"/>
                <w:sz w:val="13"/>
                <w:szCs w:val="13"/>
                <w:color w:val="BE1549"/>
              </w:rPr>
              <w:t>58</w:t>
            </w:r>
          </w:p>
        </w:tc>
        <w:tc>
          <w:tcPr>
            <w:tcW w:w="0" w:type="dxa"/>
            <w:vAlign w:val="bottom"/>
          </w:tcPr>
          <w:p>
            <w:pPr>
              <w:spacing w:after="0"/>
              <w:rPr>
                <w:sz w:val="1"/>
                <w:szCs w:val="1"/>
                <w:color w:val="auto"/>
              </w:rPr>
            </w:pPr>
          </w:p>
        </w:tc>
      </w:tr>
      <w:tr>
        <w:trPr>
          <w:trHeight w:val="185"/>
        </w:trPr>
        <w:tc>
          <w:tcPr>
            <w:tcW w:w="3920" w:type="dxa"/>
            <w:vAlign w:val="bottom"/>
          </w:tcPr>
          <w:p>
            <w:pPr>
              <w:ind w:left="160"/>
              <w:spacing w:after="0"/>
              <w:rPr>
                <w:sz w:val="20"/>
                <w:szCs w:val="20"/>
                <w:color w:val="auto"/>
              </w:rPr>
            </w:pPr>
            <w:r>
              <w:rPr>
                <w:rFonts w:ascii="Arial" w:cs="Arial" w:eastAsia="Arial" w:hAnsi="Arial"/>
                <w:sz w:val="13"/>
                <w:szCs w:val="13"/>
                <w:color w:val="auto"/>
              </w:rPr>
              <w:t>Pay Versus Performance Table</w:t>
            </w:r>
          </w:p>
        </w:tc>
        <w:tc>
          <w:tcPr>
            <w:tcW w:w="34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TSR and Peer TSR vs. Compensation Actually Paid</w:t>
            </w:r>
          </w:p>
        </w:tc>
        <w:tc>
          <w:tcPr>
            <w:tcW w:w="34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Net Income vs. Compensation Actually Paid</w:t>
            </w:r>
          </w:p>
        </w:tc>
        <w:tc>
          <w:tcPr>
            <w:tcW w:w="34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6"/>
        </w:trPr>
        <w:tc>
          <w:tcPr>
            <w:tcW w:w="3920" w:type="dxa"/>
            <w:vAlign w:val="bottom"/>
          </w:tcPr>
          <w:p>
            <w:pPr>
              <w:ind w:left="160"/>
              <w:spacing w:after="0"/>
              <w:rPr>
                <w:sz w:val="20"/>
                <w:szCs w:val="20"/>
                <w:color w:val="auto"/>
              </w:rPr>
            </w:pPr>
            <w:r>
              <w:rPr>
                <w:rFonts w:ascii="Arial" w:cs="Arial" w:eastAsia="Arial" w:hAnsi="Arial"/>
                <w:sz w:val="13"/>
                <w:szCs w:val="13"/>
                <w:color w:val="auto"/>
              </w:rPr>
              <w:t>Adjusted EPS-COMP vs. Compensation Actually Paid</w:t>
            </w:r>
          </w:p>
        </w:tc>
        <w:tc>
          <w:tcPr>
            <w:tcW w:w="34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307"/>
        </w:trPr>
        <w:tc>
          <w:tcPr>
            <w:tcW w:w="3920" w:type="dxa"/>
            <w:vAlign w:val="bottom"/>
          </w:tcPr>
          <w:p>
            <w:pPr>
              <w:spacing w:after="0"/>
              <w:rPr>
                <w:sz w:val="20"/>
                <w:szCs w:val="20"/>
                <w:color w:val="auto"/>
              </w:rPr>
            </w:pPr>
            <w:r>
              <w:rPr>
                <w:rFonts w:ascii="Arial" w:cs="Arial" w:eastAsia="Arial" w:hAnsi="Arial"/>
                <w:sz w:val="13"/>
                <w:szCs w:val="13"/>
                <w:color w:val="BE1549"/>
              </w:rPr>
              <w:t>12. CERTAIN RELATIONSHIPS AND RELATED-PARTY</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BE1549"/>
              </w:rPr>
              <w:t>62</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Arial" w:cs="Arial" w:eastAsia="Arial" w:hAnsi="Arial"/>
                <w:sz w:val="13"/>
                <w:szCs w:val="13"/>
                <w:color w:val="BE1549"/>
              </w:rPr>
              <w:t>TRANSACTIONS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920" w:type="dxa"/>
            <w:vAlign w:val="bottom"/>
          </w:tcPr>
          <w:p>
            <w:pPr>
              <w:spacing w:after="0"/>
              <w:rPr>
                <w:sz w:val="20"/>
                <w:szCs w:val="20"/>
                <w:color w:val="auto"/>
              </w:rPr>
            </w:pPr>
            <w:r>
              <w:rPr>
                <w:rFonts w:ascii="Arial" w:cs="Arial" w:eastAsia="Arial" w:hAnsi="Arial"/>
                <w:sz w:val="13"/>
                <w:szCs w:val="13"/>
                <w:color w:val="BE1549"/>
              </w:rPr>
              <w:t>13. DELINQUENT SECTION 16(A) REPORTS</w:t>
            </w:r>
          </w:p>
        </w:tc>
        <w:tc>
          <w:tcPr>
            <w:tcW w:w="340" w:type="dxa"/>
            <w:vAlign w:val="bottom"/>
          </w:tcPr>
          <w:p>
            <w:pPr>
              <w:jc w:val="right"/>
              <w:spacing w:after="0"/>
              <w:rPr>
                <w:sz w:val="20"/>
                <w:szCs w:val="20"/>
                <w:color w:val="auto"/>
              </w:rPr>
            </w:pPr>
            <w:r>
              <w:rPr>
                <w:rFonts w:ascii="Arial" w:cs="Arial" w:eastAsia="Arial" w:hAnsi="Arial"/>
                <w:sz w:val="13"/>
                <w:szCs w:val="13"/>
                <w:color w:val="BE1549"/>
              </w:rPr>
              <w:t>63</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3"/>
                <w:szCs w:val="13"/>
                <w:color w:val="BE1549"/>
              </w:rPr>
              <w:t>14. FIVE YEAR STOCK PERFORMANCE GRAPH</w:t>
            </w:r>
          </w:p>
        </w:tc>
        <w:tc>
          <w:tcPr>
            <w:tcW w:w="340" w:type="dxa"/>
            <w:vAlign w:val="bottom"/>
          </w:tcPr>
          <w:p>
            <w:pPr>
              <w:jc w:val="right"/>
              <w:spacing w:after="0"/>
              <w:rPr>
                <w:sz w:val="20"/>
                <w:szCs w:val="20"/>
                <w:color w:val="auto"/>
              </w:rPr>
            </w:pPr>
            <w:r>
              <w:rPr>
                <w:rFonts w:ascii="Arial" w:cs="Arial" w:eastAsia="Arial" w:hAnsi="Arial"/>
                <w:sz w:val="13"/>
                <w:szCs w:val="13"/>
                <w:color w:val="BE1549"/>
              </w:rPr>
              <w:t>64</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3"/>
                <w:szCs w:val="13"/>
                <w:color w:val="BE1549"/>
              </w:rPr>
              <w:t>15. AUDIT COMMITTEE REPORT</w:t>
            </w:r>
          </w:p>
        </w:tc>
        <w:tc>
          <w:tcPr>
            <w:tcW w:w="340" w:type="dxa"/>
            <w:vAlign w:val="bottom"/>
          </w:tcPr>
          <w:p>
            <w:pPr>
              <w:jc w:val="right"/>
              <w:spacing w:after="0"/>
              <w:rPr>
                <w:sz w:val="20"/>
                <w:szCs w:val="20"/>
                <w:color w:val="auto"/>
              </w:rPr>
            </w:pPr>
            <w:r>
              <w:rPr>
                <w:rFonts w:ascii="Arial" w:cs="Arial" w:eastAsia="Arial" w:hAnsi="Arial"/>
                <w:sz w:val="13"/>
                <w:szCs w:val="13"/>
                <w:color w:val="BE1549"/>
              </w:rPr>
              <w:t>65</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3"/>
                <w:szCs w:val="13"/>
                <w:color w:val="BE1549"/>
              </w:rPr>
              <w:t>16. AUDIT MATTERS</w:t>
            </w:r>
          </w:p>
        </w:tc>
        <w:tc>
          <w:tcPr>
            <w:tcW w:w="340" w:type="dxa"/>
            <w:vAlign w:val="bottom"/>
          </w:tcPr>
          <w:p>
            <w:pPr>
              <w:jc w:val="right"/>
              <w:spacing w:after="0"/>
              <w:rPr>
                <w:sz w:val="20"/>
                <w:szCs w:val="20"/>
                <w:color w:val="auto"/>
              </w:rPr>
            </w:pPr>
            <w:r>
              <w:rPr>
                <w:rFonts w:ascii="Arial" w:cs="Arial" w:eastAsia="Arial" w:hAnsi="Arial"/>
                <w:sz w:val="13"/>
                <w:szCs w:val="13"/>
                <w:color w:val="BE1549"/>
              </w:rPr>
              <w:t>67</w:t>
            </w:r>
          </w:p>
        </w:tc>
        <w:tc>
          <w:tcPr>
            <w:tcW w:w="0" w:type="dxa"/>
            <w:vAlign w:val="bottom"/>
          </w:tcPr>
          <w:p>
            <w:pPr>
              <w:spacing w:after="0"/>
              <w:rPr>
                <w:sz w:val="1"/>
                <w:szCs w:val="1"/>
                <w:color w:val="auto"/>
              </w:rPr>
            </w:pPr>
          </w:p>
        </w:tc>
      </w:tr>
      <w:tr>
        <w:trPr>
          <w:trHeight w:val="185"/>
        </w:trPr>
        <w:tc>
          <w:tcPr>
            <w:tcW w:w="3920" w:type="dxa"/>
            <w:vAlign w:val="bottom"/>
          </w:tcPr>
          <w:p>
            <w:pPr>
              <w:ind w:left="160"/>
              <w:spacing w:after="0"/>
              <w:rPr>
                <w:sz w:val="20"/>
                <w:szCs w:val="20"/>
                <w:color w:val="auto"/>
              </w:rPr>
            </w:pPr>
            <w:r>
              <w:rPr>
                <w:rFonts w:ascii="Arial" w:cs="Arial" w:eastAsia="Arial" w:hAnsi="Arial"/>
                <w:sz w:val="13"/>
                <w:szCs w:val="13"/>
                <w:color w:val="auto"/>
              </w:rPr>
              <w:t>Fees Billed by Ernst &amp; Young LLP</w:t>
            </w:r>
          </w:p>
        </w:tc>
        <w:tc>
          <w:tcPr>
            <w:tcW w:w="34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Audit Fees</w:t>
            </w:r>
          </w:p>
        </w:tc>
        <w:tc>
          <w:tcPr>
            <w:tcW w:w="34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Audit Related Fees</w:t>
            </w:r>
          </w:p>
        </w:tc>
        <w:tc>
          <w:tcPr>
            <w:tcW w:w="34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3"/>
                <w:szCs w:val="13"/>
                <w:color w:val="auto"/>
              </w:rPr>
              <w:t>Tax Fees and All Other Fees</w:t>
            </w:r>
          </w:p>
        </w:tc>
        <w:tc>
          <w:tcPr>
            <w:tcW w:w="34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48"/>
        </w:trPr>
        <w:tc>
          <w:tcPr>
            <w:tcW w:w="3920" w:type="dxa"/>
            <w:vAlign w:val="bottom"/>
          </w:tcPr>
          <w:p>
            <w:pPr>
              <w:ind w:left="160"/>
              <w:spacing w:after="0"/>
              <w:rPr>
                <w:sz w:val="20"/>
                <w:szCs w:val="20"/>
                <w:color w:val="auto"/>
              </w:rPr>
            </w:pPr>
            <w:r>
              <w:rPr>
                <w:rFonts w:ascii="Arial" w:cs="Arial" w:eastAsia="Arial" w:hAnsi="Arial"/>
                <w:sz w:val="13"/>
                <w:szCs w:val="13"/>
                <w:color w:val="auto"/>
              </w:rPr>
              <w:t>Policy on Audit Committee Pre-Approval of Audit and</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66"/>
        </w:trPr>
        <w:tc>
          <w:tcPr>
            <w:tcW w:w="3920" w:type="dxa"/>
            <w:vAlign w:val="bottom"/>
          </w:tcPr>
          <w:p>
            <w:pPr>
              <w:ind w:left="160"/>
              <w:spacing w:after="0"/>
              <w:rPr>
                <w:sz w:val="20"/>
                <w:szCs w:val="20"/>
                <w:color w:val="auto"/>
              </w:rPr>
            </w:pPr>
            <w:r>
              <w:rPr>
                <w:rFonts w:ascii="Arial" w:cs="Arial" w:eastAsia="Arial" w:hAnsi="Arial"/>
                <w:sz w:val="13"/>
                <w:szCs w:val="13"/>
                <w:color w:val="auto"/>
              </w:rPr>
              <w:t>Permissible Non-Audit Services of Independent Auditor</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920" w:type="dxa"/>
            <w:vAlign w:val="bottom"/>
          </w:tcPr>
          <w:p>
            <w:pPr>
              <w:spacing w:after="0"/>
              <w:rPr>
                <w:sz w:val="20"/>
                <w:szCs w:val="20"/>
                <w:color w:val="auto"/>
              </w:rPr>
            </w:pPr>
            <w:r>
              <w:rPr>
                <w:rFonts w:ascii="Arial" w:cs="Arial" w:eastAsia="Arial" w:hAnsi="Arial"/>
                <w:sz w:val="13"/>
                <w:szCs w:val="13"/>
                <w:color w:val="BE1549"/>
              </w:rPr>
              <w:t>17. PROPOSAL 1: ELECTION OF DIRECTORS</w:t>
            </w:r>
          </w:p>
        </w:tc>
        <w:tc>
          <w:tcPr>
            <w:tcW w:w="340" w:type="dxa"/>
            <w:vAlign w:val="bottom"/>
          </w:tcPr>
          <w:p>
            <w:pPr>
              <w:jc w:val="right"/>
              <w:spacing w:after="0"/>
              <w:rPr>
                <w:sz w:val="20"/>
                <w:szCs w:val="20"/>
                <w:color w:val="auto"/>
              </w:rPr>
            </w:pPr>
            <w:r>
              <w:rPr>
                <w:rFonts w:ascii="Arial" w:cs="Arial" w:eastAsia="Arial" w:hAnsi="Arial"/>
                <w:sz w:val="13"/>
                <w:szCs w:val="13"/>
                <w:color w:val="BE1549"/>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-5513070</wp:posOffset>
            </wp:positionV>
            <wp:extent cx="6810375" cy="8867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152" w:lineRule="exact"/>
        <w:rPr>
          <w:sz w:val="20"/>
          <w:szCs w:val="20"/>
          <w:color w:val="auto"/>
        </w:rPr>
      </w:pPr>
    </w:p>
    <w:p>
      <w:pPr>
        <w:ind w:right="599" w:firstLine="7"/>
        <w:spacing w:after="0" w:line="256" w:lineRule="auto"/>
        <w:tabs>
          <w:tab w:leader="none" w:pos="210" w:val="left"/>
        </w:tabs>
        <w:numPr>
          <w:ilvl w:val="0"/>
          <w:numId w:val="4"/>
        </w:numPr>
        <w:rPr>
          <w:rFonts w:ascii="Arial" w:cs="Arial" w:eastAsia="Arial" w:hAnsi="Arial"/>
          <w:sz w:val="12"/>
          <w:szCs w:val="12"/>
          <w:color w:val="BE1549"/>
        </w:rPr>
      </w:pPr>
      <w:r>
        <w:rPr>
          <w:rFonts w:ascii="Arial" w:cs="Arial" w:eastAsia="Arial" w:hAnsi="Arial"/>
          <w:sz w:val="12"/>
          <w:szCs w:val="12"/>
          <w:color w:val="BE1549"/>
        </w:rPr>
        <w:t>PROPOSAL 2: RATIFICATION OF ERNST &amp; YOUNG LLP AS OUR INDEPENDENT REGISTERED PUBLIC ACCOUNTING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20"/>
                <w:szCs w:val="20"/>
                <w:color w:val="auto"/>
              </w:rPr>
            </w:pPr>
            <w:r>
              <w:rPr>
                <w:rFonts w:ascii="Arial" w:cs="Arial" w:eastAsia="Arial" w:hAnsi="Arial"/>
                <w:sz w:val="13"/>
                <w:szCs w:val="13"/>
                <w:color w:val="BE1549"/>
              </w:rPr>
              <w:t>FIRM FOR FISCAL YEAR 2026</w:t>
            </w:r>
          </w:p>
        </w:tc>
        <w:tc>
          <w:tcPr>
            <w:tcW w:w="480" w:type="dxa"/>
            <w:vAlign w:val="bottom"/>
          </w:tcPr>
          <w:p>
            <w:pPr>
              <w:jc w:val="right"/>
              <w:spacing w:after="0"/>
              <w:rPr>
                <w:sz w:val="20"/>
                <w:szCs w:val="20"/>
                <w:color w:val="auto"/>
              </w:rPr>
            </w:pPr>
            <w:r>
              <w:rPr>
                <w:rFonts w:ascii="Arial" w:cs="Arial" w:eastAsia="Arial" w:hAnsi="Arial"/>
                <w:sz w:val="13"/>
                <w:szCs w:val="13"/>
                <w:color w:val="BE1549"/>
              </w:rPr>
              <w:t>70</w:t>
            </w:r>
          </w:p>
        </w:tc>
        <w:tc>
          <w:tcPr>
            <w:tcW w:w="0" w:type="dxa"/>
            <w:vAlign w:val="bottom"/>
          </w:tcPr>
          <w:p>
            <w:pPr>
              <w:spacing w:after="0"/>
              <w:rPr>
                <w:sz w:val="1"/>
                <w:szCs w:val="1"/>
                <w:color w:val="auto"/>
              </w:rPr>
            </w:pPr>
          </w:p>
        </w:tc>
      </w:tr>
      <w:tr>
        <w:trPr>
          <w:trHeight w:val="307"/>
        </w:trPr>
        <w:tc>
          <w:tcPr>
            <w:tcW w:w="3780" w:type="dxa"/>
            <w:vAlign w:val="bottom"/>
          </w:tcPr>
          <w:p>
            <w:pPr>
              <w:spacing w:after="0"/>
              <w:rPr>
                <w:sz w:val="20"/>
                <w:szCs w:val="20"/>
                <w:color w:val="auto"/>
              </w:rPr>
            </w:pPr>
            <w:r>
              <w:rPr>
                <w:rFonts w:ascii="Arial" w:cs="Arial" w:eastAsia="Arial" w:hAnsi="Arial"/>
                <w:sz w:val="13"/>
                <w:szCs w:val="13"/>
                <w:color w:val="BE1549"/>
              </w:rPr>
              <w:t>19. PROPOSAL 3: ADVISORY VOTE TO APPROVE NAMED</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BE1549"/>
              </w:rPr>
              <w:t>71</w:t>
            </w:r>
          </w:p>
        </w:tc>
        <w:tc>
          <w:tcPr>
            <w:tcW w:w="0" w:type="dxa"/>
            <w:vAlign w:val="bottom"/>
          </w:tcPr>
          <w:p>
            <w:pPr>
              <w:spacing w:after="0"/>
              <w:rPr>
                <w:sz w:val="1"/>
                <w:szCs w:val="1"/>
                <w:color w:val="auto"/>
              </w:rPr>
            </w:pPr>
          </w:p>
        </w:tc>
      </w:tr>
      <w:tr>
        <w:trPr>
          <w:trHeight w:val="166"/>
        </w:trPr>
        <w:tc>
          <w:tcPr>
            <w:tcW w:w="3780" w:type="dxa"/>
            <w:vAlign w:val="bottom"/>
          </w:tcPr>
          <w:p>
            <w:pPr>
              <w:spacing w:after="0"/>
              <w:rPr>
                <w:sz w:val="20"/>
                <w:szCs w:val="20"/>
                <w:color w:val="auto"/>
              </w:rPr>
            </w:pPr>
            <w:r>
              <w:rPr>
                <w:rFonts w:ascii="Arial" w:cs="Arial" w:eastAsia="Arial" w:hAnsi="Arial"/>
                <w:sz w:val="13"/>
                <w:szCs w:val="13"/>
                <w:color w:val="BE1549"/>
              </w:rPr>
              <w:t>EXECUTIVE OFFICER COMPENSATION</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3780" w:type="dxa"/>
            <w:vAlign w:val="bottom"/>
          </w:tcPr>
          <w:p>
            <w:pPr>
              <w:spacing w:after="0"/>
              <w:rPr>
                <w:sz w:val="20"/>
                <w:szCs w:val="20"/>
                <w:color w:val="auto"/>
              </w:rPr>
            </w:pPr>
            <w:r>
              <w:rPr>
                <w:rFonts w:ascii="Arial" w:cs="Arial" w:eastAsia="Arial" w:hAnsi="Arial"/>
                <w:sz w:val="13"/>
                <w:szCs w:val="13"/>
                <w:color w:val="BE1549"/>
              </w:rPr>
              <w:t>20. PROPOSAL 4: SHAREHOLDER PROPOSAL FOR</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BE1549"/>
              </w:rPr>
              <w:t>72</w:t>
            </w:r>
          </w:p>
        </w:tc>
        <w:tc>
          <w:tcPr>
            <w:tcW w:w="0" w:type="dxa"/>
            <w:vAlign w:val="bottom"/>
          </w:tcPr>
          <w:p>
            <w:pPr>
              <w:spacing w:after="0"/>
              <w:rPr>
                <w:sz w:val="1"/>
                <w:szCs w:val="1"/>
                <w:color w:val="auto"/>
              </w:rPr>
            </w:pPr>
          </w:p>
        </w:tc>
      </w:tr>
      <w:tr>
        <w:trPr>
          <w:trHeight w:val="166"/>
        </w:trPr>
        <w:tc>
          <w:tcPr>
            <w:tcW w:w="3780" w:type="dxa"/>
            <w:vAlign w:val="bottom"/>
          </w:tcPr>
          <w:p>
            <w:pPr>
              <w:spacing w:after="0"/>
              <w:rPr>
                <w:sz w:val="20"/>
                <w:szCs w:val="20"/>
                <w:color w:val="auto"/>
              </w:rPr>
            </w:pPr>
            <w:r>
              <w:rPr>
                <w:rFonts w:ascii="Arial" w:cs="Arial" w:eastAsia="Arial" w:hAnsi="Arial"/>
                <w:sz w:val="13"/>
                <w:szCs w:val="13"/>
                <w:color w:val="BE1549"/>
              </w:rPr>
              <w:t>INDEPENDENT BOARD CHAIRMAN</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780" w:type="dxa"/>
            <w:vAlign w:val="bottom"/>
          </w:tcPr>
          <w:p>
            <w:pPr>
              <w:spacing w:after="0"/>
              <w:rPr>
                <w:sz w:val="20"/>
                <w:szCs w:val="20"/>
                <w:color w:val="auto"/>
              </w:rPr>
            </w:pPr>
            <w:r>
              <w:rPr>
                <w:rFonts w:ascii="Arial" w:cs="Arial" w:eastAsia="Arial" w:hAnsi="Arial"/>
                <w:sz w:val="13"/>
                <w:szCs w:val="13"/>
                <w:color w:val="BE1549"/>
              </w:rPr>
              <w:t>21. OTHER BUSINESS</w:t>
            </w:r>
          </w:p>
        </w:tc>
        <w:tc>
          <w:tcPr>
            <w:tcW w:w="480" w:type="dxa"/>
            <w:vAlign w:val="bottom"/>
          </w:tcPr>
          <w:p>
            <w:pPr>
              <w:jc w:val="right"/>
              <w:spacing w:after="0"/>
              <w:rPr>
                <w:sz w:val="20"/>
                <w:szCs w:val="20"/>
                <w:color w:val="auto"/>
              </w:rPr>
            </w:pPr>
            <w:r>
              <w:rPr>
                <w:rFonts w:ascii="Arial" w:cs="Arial" w:eastAsia="Arial" w:hAnsi="Arial"/>
                <w:sz w:val="13"/>
                <w:szCs w:val="13"/>
                <w:color w:val="BE1549"/>
              </w:rPr>
              <w:t>74</w:t>
            </w:r>
          </w:p>
        </w:tc>
        <w:tc>
          <w:tcPr>
            <w:tcW w:w="0" w:type="dxa"/>
            <w:vAlign w:val="bottom"/>
          </w:tcPr>
          <w:p>
            <w:pPr>
              <w:spacing w:after="0"/>
              <w:rPr>
                <w:sz w:val="1"/>
                <w:szCs w:val="1"/>
                <w:color w:val="auto"/>
              </w:rPr>
            </w:pPr>
          </w:p>
        </w:tc>
      </w:tr>
      <w:tr>
        <w:trPr>
          <w:trHeight w:val="351"/>
        </w:trPr>
        <w:tc>
          <w:tcPr>
            <w:tcW w:w="3780" w:type="dxa"/>
            <w:vAlign w:val="bottom"/>
          </w:tcPr>
          <w:p>
            <w:pPr>
              <w:spacing w:after="0"/>
              <w:rPr>
                <w:sz w:val="20"/>
                <w:szCs w:val="20"/>
                <w:color w:val="auto"/>
              </w:rPr>
            </w:pPr>
            <w:r>
              <w:rPr>
                <w:rFonts w:ascii="Arial" w:cs="Arial" w:eastAsia="Arial" w:hAnsi="Arial"/>
                <w:sz w:val="13"/>
                <w:szCs w:val="13"/>
                <w:color w:val="BE1549"/>
              </w:rPr>
              <w:t>22. ADDITIONAL INFORMATION</w:t>
            </w:r>
          </w:p>
        </w:tc>
        <w:tc>
          <w:tcPr>
            <w:tcW w:w="480" w:type="dxa"/>
            <w:vAlign w:val="bottom"/>
          </w:tcPr>
          <w:p>
            <w:pPr>
              <w:jc w:val="right"/>
              <w:spacing w:after="0"/>
              <w:rPr>
                <w:sz w:val="20"/>
                <w:szCs w:val="20"/>
                <w:color w:val="auto"/>
              </w:rPr>
            </w:pPr>
            <w:r>
              <w:rPr>
                <w:rFonts w:ascii="Arial" w:cs="Arial" w:eastAsia="Arial" w:hAnsi="Arial"/>
                <w:sz w:val="13"/>
                <w:szCs w:val="13"/>
                <w:color w:val="BE1549"/>
              </w:rPr>
              <w:t>75</w:t>
            </w:r>
          </w:p>
        </w:tc>
        <w:tc>
          <w:tcPr>
            <w:tcW w:w="0" w:type="dxa"/>
            <w:vAlign w:val="bottom"/>
          </w:tcPr>
          <w:p>
            <w:pPr>
              <w:spacing w:after="0"/>
              <w:rPr>
                <w:sz w:val="1"/>
                <w:szCs w:val="1"/>
                <w:color w:val="auto"/>
              </w:rPr>
            </w:pPr>
          </w:p>
        </w:tc>
      </w:tr>
      <w:tr>
        <w:trPr>
          <w:trHeight w:val="185"/>
        </w:trPr>
        <w:tc>
          <w:tcPr>
            <w:tcW w:w="3780" w:type="dxa"/>
            <w:vAlign w:val="bottom"/>
          </w:tcPr>
          <w:p>
            <w:pPr>
              <w:ind w:left="160"/>
              <w:spacing w:after="0"/>
              <w:rPr>
                <w:sz w:val="20"/>
                <w:szCs w:val="20"/>
                <w:color w:val="auto"/>
              </w:rPr>
            </w:pPr>
            <w:r>
              <w:rPr>
                <w:rFonts w:ascii="Arial" w:cs="Arial" w:eastAsia="Arial" w:hAnsi="Arial"/>
                <w:sz w:val="13"/>
                <w:szCs w:val="13"/>
                <w:color w:val="auto"/>
              </w:rPr>
              <w:t>Shareholder Proposals</w:t>
            </w: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2"/>
        </w:trPr>
        <w:tc>
          <w:tcPr>
            <w:tcW w:w="3780" w:type="dxa"/>
            <w:vAlign w:val="bottom"/>
          </w:tcPr>
          <w:p>
            <w:pPr>
              <w:ind w:left="160"/>
              <w:spacing w:after="0"/>
              <w:rPr>
                <w:sz w:val="20"/>
                <w:szCs w:val="20"/>
                <w:color w:val="auto"/>
              </w:rPr>
            </w:pPr>
            <w:r>
              <w:rPr>
                <w:rFonts w:ascii="Arial" w:cs="Arial" w:eastAsia="Arial" w:hAnsi="Arial"/>
                <w:sz w:val="13"/>
                <w:szCs w:val="13"/>
                <w:color w:val="auto"/>
              </w:rPr>
              <w:t>Universal Proxy Rules</w:t>
            </w: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2"/>
        </w:trPr>
        <w:tc>
          <w:tcPr>
            <w:tcW w:w="3780" w:type="dxa"/>
            <w:vAlign w:val="bottom"/>
          </w:tcPr>
          <w:p>
            <w:pPr>
              <w:ind w:left="160"/>
              <w:spacing w:after="0"/>
              <w:rPr>
                <w:sz w:val="20"/>
                <w:szCs w:val="20"/>
                <w:color w:val="auto"/>
              </w:rPr>
            </w:pPr>
            <w:r>
              <w:rPr>
                <w:rFonts w:ascii="Arial" w:cs="Arial" w:eastAsia="Arial" w:hAnsi="Arial"/>
                <w:sz w:val="13"/>
                <w:szCs w:val="13"/>
                <w:color w:val="auto"/>
              </w:rPr>
              <w:t>Solicitation of Proxies</w:t>
            </w: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2"/>
        </w:trPr>
        <w:tc>
          <w:tcPr>
            <w:tcW w:w="3780" w:type="dxa"/>
            <w:vAlign w:val="bottom"/>
          </w:tcPr>
          <w:p>
            <w:pPr>
              <w:ind w:left="160"/>
              <w:spacing w:after="0"/>
              <w:rPr>
                <w:sz w:val="20"/>
                <w:szCs w:val="20"/>
                <w:color w:val="auto"/>
              </w:rPr>
            </w:pPr>
            <w:r>
              <w:rPr>
                <w:rFonts w:ascii="Arial" w:cs="Arial" w:eastAsia="Arial" w:hAnsi="Arial"/>
                <w:sz w:val="13"/>
                <w:szCs w:val="13"/>
                <w:color w:val="auto"/>
              </w:rPr>
              <w:t>Voting Procedures</w:t>
            </w:r>
          </w:p>
        </w:tc>
        <w:tc>
          <w:tcPr>
            <w:tcW w:w="48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2"/>
        </w:trPr>
        <w:tc>
          <w:tcPr>
            <w:tcW w:w="3780" w:type="dxa"/>
            <w:vAlign w:val="bottom"/>
          </w:tcPr>
          <w:p>
            <w:pPr>
              <w:ind w:left="160"/>
              <w:spacing w:after="0"/>
              <w:rPr>
                <w:sz w:val="20"/>
                <w:szCs w:val="20"/>
                <w:color w:val="auto"/>
              </w:rPr>
            </w:pPr>
            <w:r>
              <w:rPr>
                <w:rFonts w:ascii="Arial" w:cs="Arial" w:eastAsia="Arial" w:hAnsi="Arial"/>
                <w:sz w:val="13"/>
                <w:szCs w:val="13"/>
                <w:color w:val="auto"/>
              </w:rPr>
              <w:t>Where to Find More Proxy Voting Information</w:t>
            </w:r>
          </w:p>
        </w:tc>
        <w:tc>
          <w:tcPr>
            <w:tcW w:w="48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6"/>
        </w:trPr>
        <w:tc>
          <w:tcPr>
            <w:tcW w:w="3780" w:type="dxa"/>
            <w:vAlign w:val="bottom"/>
          </w:tcPr>
          <w:p>
            <w:pPr>
              <w:ind w:left="160"/>
              <w:spacing w:after="0"/>
              <w:rPr>
                <w:sz w:val="20"/>
                <w:szCs w:val="20"/>
                <w:color w:val="auto"/>
              </w:rPr>
            </w:pPr>
            <w:r>
              <w:rPr>
                <w:rFonts w:ascii="Arial" w:cs="Arial" w:eastAsia="Arial" w:hAnsi="Arial"/>
                <w:sz w:val="13"/>
                <w:szCs w:val="13"/>
                <w:color w:val="auto"/>
              </w:rPr>
              <w:t>Householding of Proxy Materials</w:t>
            </w:r>
          </w:p>
        </w:tc>
        <w:tc>
          <w:tcPr>
            <w:tcW w:w="48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3"/>
                <w:szCs w:val="13"/>
                <w:color w:val="BE1549"/>
              </w:rPr>
              <w:t>23. APPENDIX A</w:t>
            </w:r>
          </w:p>
        </w:tc>
        <w:tc>
          <w:tcPr>
            <w:tcW w:w="480" w:type="dxa"/>
            <w:vAlign w:val="bottom"/>
          </w:tcPr>
          <w:p>
            <w:pPr>
              <w:jc w:val="right"/>
              <w:spacing w:after="0"/>
              <w:rPr>
                <w:sz w:val="20"/>
                <w:szCs w:val="20"/>
                <w:color w:val="auto"/>
              </w:rPr>
            </w:pPr>
            <w:r>
              <w:rPr>
                <w:rFonts w:ascii="Arial" w:cs="Arial" w:eastAsia="Arial" w:hAnsi="Arial"/>
                <w:sz w:val="13"/>
                <w:szCs w:val="13"/>
                <w:color w:val="BE1549"/>
              </w:rPr>
              <w:t>78</w:t>
            </w:r>
          </w:p>
        </w:tc>
        <w:tc>
          <w:tcPr>
            <w:tcW w:w="0" w:type="dxa"/>
            <w:vAlign w:val="bottom"/>
          </w:tcPr>
          <w:p>
            <w:pPr>
              <w:spacing w:after="0"/>
              <w:rPr>
                <w:sz w:val="1"/>
                <w:szCs w:val="1"/>
                <w:color w:val="auto"/>
              </w:rPr>
            </w:pPr>
          </w:p>
        </w:tc>
      </w:tr>
      <w:tr>
        <w:trPr>
          <w:trHeight w:val="185"/>
        </w:trPr>
        <w:tc>
          <w:tcPr>
            <w:tcW w:w="3780" w:type="dxa"/>
            <w:vAlign w:val="bottom"/>
          </w:tcPr>
          <w:p>
            <w:pPr>
              <w:ind w:left="160"/>
              <w:spacing w:after="0"/>
              <w:rPr>
                <w:sz w:val="20"/>
                <w:szCs w:val="20"/>
                <w:color w:val="auto"/>
              </w:rPr>
            </w:pPr>
            <w:r>
              <w:rPr>
                <w:rFonts w:ascii="Arial" w:cs="Arial" w:eastAsia="Arial" w:hAnsi="Arial"/>
                <w:sz w:val="13"/>
                <w:szCs w:val="13"/>
                <w:color w:val="auto"/>
              </w:rPr>
              <w:t>Management’s Use of Non-GAAP Financial Measures</w:t>
            </w:r>
          </w:p>
        </w:tc>
        <w:tc>
          <w:tcPr>
            <w:tcW w:w="48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49"/>
        </w:trPr>
        <w:tc>
          <w:tcPr>
            <w:tcW w:w="3780" w:type="dxa"/>
            <w:vAlign w:val="bottom"/>
          </w:tcPr>
          <w:p>
            <w:pPr>
              <w:ind w:left="160"/>
              <w:spacing w:after="0"/>
              <w:rPr>
                <w:sz w:val="20"/>
                <w:szCs w:val="20"/>
                <w:color w:val="auto"/>
              </w:rPr>
            </w:pPr>
            <w:r>
              <w:rPr>
                <w:rFonts w:ascii="Arial" w:cs="Arial" w:eastAsia="Arial" w:hAnsi="Arial"/>
                <w:sz w:val="13"/>
                <w:szCs w:val="13"/>
                <w:color w:val="auto"/>
              </w:rPr>
              <w:t>Adjusted Net Income and Adjusted Net Income Per Diluted</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6"/>
        </w:trPr>
        <w:tc>
          <w:tcPr>
            <w:tcW w:w="3780" w:type="dxa"/>
            <w:vAlign w:val="bottom"/>
          </w:tcPr>
          <w:p>
            <w:pPr>
              <w:ind w:left="160"/>
              <w:spacing w:after="0"/>
              <w:rPr>
                <w:sz w:val="20"/>
                <w:szCs w:val="20"/>
                <w:color w:val="auto"/>
              </w:rPr>
            </w:pPr>
            <w:r>
              <w:rPr>
                <w:rFonts w:ascii="Arial" w:cs="Arial" w:eastAsia="Arial" w:hAnsi="Arial"/>
                <w:sz w:val="13"/>
                <w:szCs w:val="13"/>
                <w:color w:val="auto"/>
              </w:rPr>
              <w:t>Share</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160"/>
              <w:spacing w:after="0"/>
              <w:rPr>
                <w:sz w:val="20"/>
                <w:szCs w:val="20"/>
                <w:color w:val="auto"/>
              </w:rPr>
            </w:pPr>
            <w:r>
              <w:rPr>
                <w:rFonts w:ascii="Arial" w:cs="Arial" w:eastAsia="Arial" w:hAnsi="Arial"/>
                <w:sz w:val="13"/>
                <w:szCs w:val="13"/>
                <w:color w:val="auto"/>
              </w:rPr>
              <w:t>Reconciliation of Net Income to Pro Forma Adjusted Net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6"/>
        </w:trPr>
        <w:tc>
          <w:tcPr>
            <w:tcW w:w="3780" w:type="dxa"/>
            <w:vAlign w:val="bottom"/>
          </w:tcPr>
          <w:p>
            <w:pPr>
              <w:ind w:left="160"/>
              <w:spacing w:after="0"/>
              <w:rPr>
                <w:sz w:val="20"/>
                <w:szCs w:val="20"/>
                <w:color w:val="auto"/>
              </w:rPr>
            </w:pPr>
            <w:r>
              <w:rPr>
                <w:rFonts w:ascii="Arial" w:cs="Arial" w:eastAsia="Arial" w:hAnsi="Arial"/>
                <w:sz w:val="13"/>
                <w:szCs w:val="13"/>
                <w:color w:val="auto"/>
              </w:rPr>
              <w:t>Income</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2">
            <w:col w:w="4320" w:space="440"/>
            <w:col w:w="4299"/>
          </w:cols>
          <w:pgMar w:left="1400" w:top="1440" w:right="1440" w:bottom="1440" w:gutter="0" w:footer="0" w:header="0"/>
        </w:sectPr>
      </w:pPr>
    </w:p>
    <w:bookmarkStart w:id="6" w:name="page7"/>
    <w:bookmarkEnd w:id="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01. Summary</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C43776"/>
        </w:rPr>
        <w:t>Information About Our 2026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Meeting Details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0" w:type="dxa"/>
            <w:vAlign w:val="bottom"/>
            <w:shd w:val="clear" w:color="auto" w:fill="F1F2F2"/>
          </w:tcPr>
          <w:p>
            <w:pPr>
              <w:spacing w:after="0"/>
              <w:rPr>
                <w:sz w:val="23"/>
                <w:szCs w:val="23"/>
                <w:color w:val="auto"/>
              </w:rPr>
            </w:pPr>
          </w:p>
        </w:tc>
        <w:tc>
          <w:tcPr>
            <w:tcW w:w="278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Meeting Date and Time:</w:t>
            </w:r>
          </w:p>
        </w:tc>
        <w:tc>
          <w:tcPr>
            <w:tcW w:w="20" w:type="dxa"/>
            <w:vAlign w:val="bottom"/>
            <w:shd w:val="clear" w:color="auto" w:fill="F1F2F2"/>
          </w:tcPr>
          <w:p>
            <w:pPr>
              <w:spacing w:after="0"/>
              <w:rPr>
                <w:sz w:val="23"/>
                <w:szCs w:val="23"/>
                <w:color w:val="auto"/>
              </w:rPr>
            </w:pPr>
          </w:p>
        </w:tc>
        <w:tc>
          <w:tcPr>
            <w:tcW w:w="294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Meeting Place:</w:t>
            </w:r>
          </w:p>
        </w:tc>
        <w:tc>
          <w:tcPr>
            <w:tcW w:w="20" w:type="dxa"/>
            <w:vAlign w:val="bottom"/>
            <w:shd w:val="clear" w:color="auto" w:fill="F1F2F2"/>
          </w:tcPr>
          <w:p>
            <w:pPr>
              <w:spacing w:after="0"/>
              <w:rPr>
                <w:sz w:val="23"/>
                <w:szCs w:val="23"/>
                <w:color w:val="auto"/>
              </w:rPr>
            </w:pPr>
          </w:p>
        </w:tc>
        <w:tc>
          <w:tcPr>
            <w:tcW w:w="276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Record Date:</w:t>
            </w: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80" w:type="dxa"/>
            <w:vAlign w:val="bottom"/>
            <w:shd w:val="clear" w:color="auto" w:fill="F1F2F2"/>
          </w:tcPr>
          <w:p>
            <w:pPr>
              <w:spacing w:after="0"/>
              <w:rPr>
                <w:sz w:val="17"/>
                <w:szCs w:val="17"/>
                <w:color w:val="auto"/>
              </w:rPr>
            </w:pPr>
          </w:p>
        </w:tc>
        <w:tc>
          <w:tcPr>
            <w:tcW w:w="2780" w:type="dxa"/>
            <w:vAlign w:val="bottom"/>
            <w:vMerge w:val="continue"/>
            <w:shd w:val="clear" w:color="auto" w:fill="F1F2F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940" w:type="dxa"/>
            <w:vAlign w:val="bottom"/>
            <w:vMerge w:val="continue"/>
            <w:shd w:val="clear" w:color="auto" w:fill="F1F2F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760" w:type="dxa"/>
            <w:vAlign w:val="bottom"/>
            <w:vMerge w:val="continue"/>
            <w:shd w:val="clear" w:color="auto" w:fill="F1F2F2"/>
          </w:tcPr>
          <w:p>
            <w:pPr>
              <w:spacing w:after="0"/>
              <w:rPr>
                <w:sz w:val="17"/>
                <w:szCs w:val="17"/>
                <w:color w:val="auto"/>
              </w:rPr>
            </w:pPr>
          </w:p>
        </w:tc>
        <w:tc>
          <w:tcPr>
            <w:tcW w:w="26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F1F2F2"/>
          </w:tcPr>
          <w:p>
            <w:pPr>
              <w:spacing w:after="0"/>
              <w:rPr>
                <w:sz w:val="14"/>
                <w:szCs w:val="14"/>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Thursday, May 7, 2026, at 10:00 a.m.</w:t>
            </w:r>
          </w:p>
        </w:tc>
        <w:tc>
          <w:tcPr>
            <w:tcW w:w="20" w:type="dxa"/>
            <w:vAlign w:val="bottom"/>
            <w:shd w:val="clear" w:color="auto" w:fill="000000"/>
          </w:tcPr>
          <w:p>
            <w:pPr>
              <w:spacing w:after="0"/>
              <w:rPr>
                <w:sz w:val="14"/>
                <w:szCs w:val="14"/>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3280 Peachtree Road, Suite 2400</w:t>
            </w:r>
          </w:p>
        </w:tc>
        <w:tc>
          <w:tcPr>
            <w:tcW w:w="20" w:type="dxa"/>
            <w:vAlign w:val="bottom"/>
            <w:shd w:val="clear" w:color="auto" w:fill="000000"/>
          </w:tcPr>
          <w:p>
            <w:pPr>
              <w:spacing w:after="0"/>
              <w:rPr>
                <w:sz w:val="14"/>
                <w:szCs w:val="14"/>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March 23, 2026 (66,131,990 common</w:t>
            </w:r>
          </w:p>
        </w:tc>
        <w:tc>
          <w:tcPr>
            <w:tcW w:w="26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Eastern Daylight Time</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Atlanta, GA 30305</w:t>
            </w: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shares and 43,510 unvested restricted</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shares outstanding and entitled to vote</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0" w:type="dxa"/>
            <w:vAlign w:val="bottom"/>
            <w:shd w:val="clear" w:color="auto" w:fill="F1F2F2"/>
          </w:tcPr>
          <w:p>
            <w:pPr>
              <w:spacing w:after="0"/>
              <w:rPr>
                <w:sz w:val="16"/>
                <w:szCs w:val="16"/>
                <w:color w:val="auto"/>
              </w:rPr>
            </w:pPr>
          </w:p>
        </w:tc>
        <w:tc>
          <w:tcPr>
            <w:tcW w:w="2780" w:type="dxa"/>
            <w:vAlign w:val="bottom"/>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940" w:type="dxa"/>
            <w:vAlign w:val="bottom"/>
            <w:shd w:val="clear" w:color="auto" w:fill="F1F2F2"/>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as of the record date).</w:t>
            </w:r>
          </w:p>
        </w:tc>
        <w:tc>
          <w:tcPr>
            <w:tcW w:w="2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F1F2F2"/>
          </w:tcPr>
          <w:p>
            <w:pPr>
              <w:spacing w:after="0"/>
              <w:rPr>
                <w:sz w:val="23"/>
                <w:szCs w:val="23"/>
                <w:color w:val="auto"/>
              </w:rPr>
            </w:pPr>
          </w:p>
        </w:tc>
        <w:tc>
          <w:tcPr>
            <w:tcW w:w="278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94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760" w:type="dxa"/>
            <w:vAlign w:val="bottom"/>
            <w:shd w:val="clear" w:color="auto" w:fill="F1F2F2"/>
          </w:tcPr>
          <w:p>
            <w:pPr>
              <w:spacing w:after="0"/>
              <w:rPr>
                <w:sz w:val="23"/>
                <w:szCs w:val="23"/>
                <w:color w:val="auto"/>
              </w:rPr>
            </w:pP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Holders of common shares as of the close of business on March 23, 2026 may vote at the Annual Meeting. One vote per share for each director nominee and each of the other proposals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auto"/>
        </w:rPr>
        <w:t>Ways to Vote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0" w:type="dxa"/>
            <w:vAlign w:val="bottom"/>
            <w:shd w:val="clear" w:color="auto" w:fill="F1F2F2"/>
          </w:tcPr>
          <w:p>
            <w:pPr>
              <w:spacing w:after="0"/>
              <w:rPr>
                <w:sz w:val="23"/>
                <w:szCs w:val="23"/>
                <w:color w:val="auto"/>
              </w:rPr>
            </w:pPr>
          </w:p>
        </w:tc>
        <w:tc>
          <w:tcPr>
            <w:tcW w:w="278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By Internet</w:t>
            </w:r>
          </w:p>
        </w:tc>
        <w:tc>
          <w:tcPr>
            <w:tcW w:w="20" w:type="dxa"/>
            <w:vAlign w:val="bottom"/>
            <w:shd w:val="clear" w:color="auto" w:fill="F1F2F2"/>
          </w:tcPr>
          <w:p>
            <w:pPr>
              <w:spacing w:after="0"/>
              <w:rPr>
                <w:sz w:val="23"/>
                <w:szCs w:val="23"/>
                <w:color w:val="auto"/>
              </w:rPr>
            </w:pPr>
          </w:p>
        </w:tc>
        <w:tc>
          <w:tcPr>
            <w:tcW w:w="294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By Phone</w:t>
            </w:r>
          </w:p>
        </w:tc>
        <w:tc>
          <w:tcPr>
            <w:tcW w:w="20" w:type="dxa"/>
            <w:vAlign w:val="bottom"/>
            <w:shd w:val="clear" w:color="auto" w:fill="F1F2F2"/>
          </w:tcPr>
          <w:p>
            <w:pPr>
              <w:spacing w:after="0"/>
              <w:rPr>
                <w:sz w:val="23"/>
                <w:szCs w:val="23"/>
                <w:color w:val="auto"/>
              </w:rPr>
            </w:pPr>
          </w:p>
        </w:tc>
        <w:tc>
          <w:tcPr>
            <w:tcW w:w="2760" w:type="dxa"/>
            <w:vAlign w:val="bottom"/>
            <w:vMerge w:val="restart"/>
            <w:shd w:val="clear" w:color="auto" w:fill="F1F2F2"/>
          </w:tcPr>
          <w:p>
            <w:pPr>
              <w:ind w:left="200"/>
              <w:spacing w:after="0"/>
              <w:rPr>
                <w:sz w:val="20"/>
                <w:szCs w:val="20"/>
                <w:color w:val="auto"/>
              </w:rPr>
            </w:pPr>
            <w:r>
              <w:rPr>
                <w:rFonts w:ascii="Arial" w:cs="Arial" w:eastAsia="Arial" w:hAnsi="Arial"/>
                <w:sz w:val="14"/>
                <w:szCs w:val="14"/>
                <w:b w:val="1"/>
                <w:bCs w:val="1"/>
                <w:color w:val="auto"/>
              </w:rPr>
              <w:t>By Mail</w:t>
            </w: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80" w:type="dxa"/>
            <w:vAlign w:val="bottom"/>
            <w:shd w:val="clear" w:color="auto" w:fill="F1F2F2"/>
          </w:tcPr>
          <w:p>
            <w:pPr>
              <w:spacing w:after="0"/>
              <w:rPr>
                <w:sz w:val="17"/>
                <w:szCs w:val="17"/>
                <w:color w:val="auto"/>
              </w:rPr>
            </w:pPr>
          </w:p>
        </w:tc>
        <w:tc>
          <w:tcPr>
            <w:tcW w:w="2780" w:type="dxa"/>
            <w:vAlign w:val="bottom"/>
            <w:vMerge w:val="continue"/>
            <w:shd w:val="clear" w:color="auto" w:fill="F1F2F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940" w:type="dxa"/>
            <w:vAlign w:val="bottom"/>
            <w:vMerge w:val="continue"/>
            <w:shd w:val="clear" w:color="auto" w:fill="F1F2F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760" w:type="dxa"/>
            <w:vAlign w:val="bottom"/>
            <w:vMerge w:val="continue"/>
            <w:shd w:val="clear" w:color="auto" w:fill="F1F2F2"/>
          </w:tcPr>
          <w:p>
            <w:pPr>
              <w:spacing w:after="0"/>
              <w:rPr>
                <w:sz w:val="17"/>
                <w:szCs w:val="17"/>
                <w:color w:val="auto"/>
              </w:rPr>
            </w:pPr>
          </w:p>
        </w:tc>
        <w:tc>
          <w:tcPr>
            <w:tcW w:w="26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F1F2F2"/>
          </w:tcPr>
          <w:p>
            <w:pPr>
              <w:spacing w:after="0"/>
              <w:rPr>
                <w:sz w:val="14"/>
                <w:szCs w:val="14"/>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www.proxyvote.com</w:t>
            </w:r>
          </w:p>
        </w:tc>
        <w:tc>
          <w:tcPr>
            <w:tcW w:w="20" w:type="dxa"/>
            <w:vAlign w:val="bottom"/>
            <w:shd w:val="clear" w:color="auto" w:fill="000000"/>
          </w:tcPr>
          <w:p>
            <w:pPr>
              <w:spacing w:after="0"/>
              <w:rPr>
                <w:sz w:val="14"/>
                <w:szCs w:val="14"/>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1-800-690-6903</w:t>
            </w:r>
          </w:p>
        </w:tc>
        <w:tc>
          <w:tcPr>
            <w:tcW w:w="20" w:type="dxa"/>
            <w:vAlign w:val="bottom"/>
            <w:shd w:val="clear" w:color="auto" w:fill="000000"/>
          </w:tcPr>
          <w:p>
            <w:pPr>
              <w:spacing w:after="0"/>
              <w:rPr>
                <w:sz w:val="14"/>
                <w:szCs w:val="14"/>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Mark, sign and date your proxy card</w:t>
            </w:r>
          </w:p>
        </w:tc>
        <w:tc>
          <w:tcPr>
            <w:tcW w:w="26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Use the internet to transmit your voting</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Use any touch tone telephone to</w:t>
            </w: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and return it in the postage-paid</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instruction and for electronic delivery of</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ind w:left="200"/>
              <w:spacing w:after="0"/>
              <w:rPr>
                <w:sz w:val="20"/>
                <w:szCs w:val="20"/>
                <w:color w:val="auto"/>
              </w:rPr>
            </w:pPr>
            <w:r>
              <w:rPr>
                <w:rFonts w:ascii="Arial" w:cs="Arial" w:eastAsia="Arial" w:hAnsi="Arial"/>
                <w:sz w:val="14"/>
                <w:szCs w:val="14"/>
                <w:color w:val="auto"/>
              </w:rPr>
              <w:t>transmit your voting instructions</w:t>
            </w: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envelope provided with your proxy</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ind w:left="40"/>
              <w:spacing w:after="0"/>
              <w:rPr>
                <w:sz w:val="20"/>
                <w:szCs w:val="20"/>
                <w:color w:val="auto"/>
              </w:rPr>
            </w:pPr>
            <w:r>
              <w:rPr>
                <w:rFonts w:ascii="Arial" w:cs="Arial" w:eastAsia="Arial" w:hAnsi="Arial"/>
                <w:sz w:val="14"/>
                <w:szCs w:val="14"/>
                <w:color w:val="auto"/>
              </w:rPr>
              <w:t>information</w:t>
            </w: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materials or return it to Vote</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shd w:val="clear" w:color="auto" w:fill="F1F2F2"/>
          </w:tcPr>
          <w:p>
            <w:pPr>
              <w:spacing w:after="0"/>
              <w:rPr>
                <w:sz w:val="15"/>
                <w:szCs w:val="15"/>
                <w:color w:val="auto"/>
              </w:rPr>
            </w:pPr>
          </w:p>
        </w:tc>
        <w:tc>
          <w:tcPr>
            <w:tcW w:w="278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940" w:type="dxa"/>
            <w:vAlign w:val="bottom"/>
            <w:shd w:val="clear" w:color="auto" w:fill="F1F2F2"/>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Processing, c/o Broadridge,</w:t>
            </w:r>
          </w:p>
        </w:tc>
        <w:tc>
          <w:tcPr>
            <w:tcW w:w="2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F1F2F2"/>
          </w:tcPr>
          <w:p>
            <w:pPr>
              <w:spacing w:after="0"/>
              <w:rPr>
                <w:sz w:val="14"/>
                <w:szCs w:val="14"/>
                <w:color w:val="auto"/>
              </w:rPr>
            </w:pPr>
          </w:p>
        </w:tc>
        <w:tc>
          <w:tcPr>
            <w:tcW w:w="2780" w:type="dxa"/>
            <w:vAlign w:val="bottom"/>
            <w:shd w:val="clear" w:color="auto" w:fill="F1F2F2"/>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940" w:type="dxa"/>
            <w:vAlign w:val="bottom"/>
            <w:shd w:val="clear" w:color="auto" w:fill="F1F2F2"/>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760" w:type="dxa"/>
            <w:vAlign w:val="bottom"/>
            <w:shd w:val="clear" w:color="auto" w:fill="F1F2F2"/>
          </w:tcPr>
          <w:p>
            <w:pPr>
              <w:ind w:left="200"/>
              <w:spacing w:after="0"/>
              <w:rPr>
                <w:sz w:val="20"/>
                <w:szCs w:val="20"/>
                <w:color w:val="auto"/>
              </w:rPr>
            </w:pPr>
            <w:r>
              <w:rPr>
                <w:rFonts w:ascii="Arial" w:cs="Arial" w:eastAsia="Arial" w:hAnsi="Arial"/>
                <w:sz w:val="14"/>
                <w:szCs w:val="14"/>
                <w:color w:val="auto"/>
              </w:rPr>
              <w:t>51 Mercedes Way,</w:t>
            </w:r>
          </w:p>
        </w:tc>
        <w:tc>
          <w:tcPr>
            <w:tcW w:w="26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Borders>
              <w:bottom w:val="single" w:sz="8" w:color="F1F2F2"/>
            </w:tcBorders>
            <w:shd w:val="clear" w:color="auto" w:fill="F1F2F2"/>
          </w:tcPr>
          <w:p>
            <w:pPr>
              <w:spacing w:after="0"/>
              <w:rPr>
                <w:sz w:val="16"/>
                <w:szCs w:val="16"/>
                <w:color w:val="auto"/>
              </w:rPr>
            </w:pPr>
          </w:p>
        </w:tc>
        <w:tc>
          <w:tcPr>
            <w:tcW w:w="2780" w:type="dxa"/>
            <w:vAlign w:val="bottom"/>
            <w:tcBorders>
              <w:bottom w:val="single" w:sz="8" w:color="F1F2F2"/>
            </w:tcBorders>
            <w:shd w:val="clear" w:color="auto" w:fill="F1F2F2"/>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2940" w:type="dxa"/>
            <w:vAlign w:val="bottom"/>
            <w:tcBorders>
              <w:bottom w:val="single" w:sz="8" w:color="F1F2F2"/>
            </w:tcBorders>
            <w:shd w:val="clear" w:color="auto" w:fill="F1F2F2"/>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2760" w:type="dxa"/>
            <w:vAlign w:val="bottom"/>
            <w:tcBorders>
              <w:bottom w:val="single" w:sz="8" w:color="F1F2F2"/>
            </w:tcBorders>
            <w:shd w:val="clear" w:color="auto" w:fill="F1F2F2"/>
          </w:tcPr>
          <w:p>
            <w:pPr>
              <w:ind w:left="200"/>
              <w:spacing w:after="0"/>
              <w:rPr>
                <w:sz w:val="20"/>
                <w:szCs w:val="20"/>
                <w:color w:val="auto"/>
              </w:rPr>
            </w:pPr>
            <w:r>
              <w:rPr>
                <w:rFonts w:ascii="Arial" w:cs="Arial" w:eastAsia="Arial" w:hAnsi="Arial"/>
                <w:sz w:val="14"/>
                <w:szCs w:val="14"/>
                <w:color w:val="auto"/>
              </w:rPr>
              <w:t>Edgewood, NY 11717</w:t>
            </w:r>
          </w:p>
        </w:tc>
        <w:tc>
          <w:tcPr>
            <w:tcW w:w="260" w:type="dxa"/>
            <w:vAlign w:val="bottom"/>
            <w:tcBorders>
              <w:bottom w:val="single" w:sz="8" w:color="F1F2F2"/>
            </w:tcBorders>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F1F2F2"/>
          </w:tcPr>
          <w:p>
            <w:pPr>
              <w:spacing w:after="0"/>
              <w:rPr>
                <w:sz w:val="23"/>
                <w:szCs w:val="23"/>
                <w:color w:val="auto"/>
              </w:rPr>
            </w:pPr>
          </w:p>
        </w:tc>
        <w:tc>
          <w:tcPr>
            <w:tcW w:w="278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940" w:type="dxa"/>
            <w:vAlign w:val="bottom"/>
            <w:shd w:val="clear" w:color="auto" w:fill="F1F2F2"/>
          </w:tcPr>
          <w:p>
            <w:pPr>
              <w:spacing w:after="0"/>
              <w:rPr>
                <w:sz w:val="23"/>
                <w:szCs w:val="23"/>
                <w:color w:val="auto"/>
              </w:rPr>
            </w:pPr>
          </w:p>
        </w:tc>
        <w:tc>
          <w:tcPr>
            <w:tcW w:w="20" w:type="dxa"/>
            <w:vAlign w:val="bottom"/>
            <w:shd w:val="clear" w:color="auto" w:fill="F1F2F2"/>
          </w:tcPr>
          <w:p>
            <w:pPr>
              <w:spacing w:after="0"/>
              <w:rPr>
                <w:sz w:val="23"/>
                <w:szCs w:val="23"/>
                <w:color w:val="auto"/>
              </w:rPr>
            </w:pPr>
          </w:p>
        </w:tc>
        <w:tc>
          <w:tcPr>
            <w:tcW w:w="2760" w:type="dxa"/>
            <w:vAlign w:val="bottom"/>
            <w:shd w:val="clear" w:color="auto" w:fill="F1F2F2"/>
          </w:tcPr>
          <w:p>
            <w:pPr>
              <w:spacing w:after="0"/>
              <w:rPr>
                <w:sz w:val="23"/>
                <w:szCs w:val="23"/>
                <w:color w:val="auto"/>
              </w:rPr>
            </w:pPr>
          </w:p>
        </w:tc>
        <w:tc>
          <w:tcPr>
            <w:tcW w:w="26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32"/>
          <w:szCs w:val="32"/>
          <w:color w:val="C43776"/>
        </w:rPr>
        <w:t>Proposals and Board Recommendations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500" w:type="dxa"/>
            <w:vAlign w:val="bottom"/>
            <w:shd w:val="clear" w:color="auto" w:fill="C43776"/>
          </w:tcPr>
          <w:p>
            <w:pPr>
              <w:spacing w:after="0"/>
              <w:rPr>
                <w:sz w:val="24"/>
                <w:szCs w:val="24"/>
                <w:color w:val="auto"/>
              </w:rPr>
            </w:pPr>
          </w:p>
        </w:tc>
        <w:tc>
          <w:tcPr>
            <w:tcW w:w="5020" w:type="dxa"/>
            <w:vAlign w:val="bottom"/>
            <w:shd w:val="clear" w:color="auto" w:fill="C43776"/>
          </w:tcPr>
          <w:p>
            <w:pPr>
              <w:spacing w:after="0"/>
              <w:rPr>
                <w:sz w:val="24"/>
                <w:szCs w:val="24"/>
                <w:color w:val="auto"/>
              </w:rPr>
            </w:pPr>
          </w:p>
        </w:tc>
        <w:tc>
          <w:tcPr>
            <w:tcW w:w="2240" w:type="dxa"/>
            <w:vAlign w:val="bottom"/>
            <w:shd w:val="clear" w:color="auto" w:fill="C43776"/>
          </w:tcPr>
          <w:p>
            <w:pPr>
              <w:ind w:left="280"/>
              <w:spacing w:after="0"/>
              <w:rPr>
                <w:sz w:val="20"/>
                <w:szCs w:val="20"/>
                <w:color w:val="auto"/>
              </w:rPr>
            </w:pPr>
            <w:r>
              <w:rPr>
                <w:rFonts w:ascii="Arial" w:cs="Arial" w:eastAsia="Arial" w:hAnsi="Arial"/>
                <w:sz w:val="14"/>
                <w:szCs w:val="14"/>
                <w:b w:val="1"/>
                <w:bCs w:val="1"/>
                <w:color w:val="FFFFFF"/>
              </w:rPr>
              <w:t>Board</w:t>
            </w:r>
          </w:p>
        </w:tc>
        <w:tc>
          <w:tcPr>
            <w:tcW w:w="1320" w:type="dxa"/>
            <w:vAlign w:val="bottom"/>
            <w:shd w:val="clear" w:color="auto" w:fill="C43776"/>
          </w:tcPr>
          <w:p>
            <w:pPr>
              <w:jc w:val="center"/>
              <w:ind w:left="68"/>
              <w:spacing w:after="0"/>
              <w:rPr>
                <w:sz w:val="20"/>
                <w:szCs w:val="20"/>
                <w:color w:val="auto"/>
              </w:rPr>
            </w:pPr>
            <w:r>
              <w:rPr>
                <w:rFonts w:ascii="Arial" w:cs="Arial" w:eastAsia="Arial" w:hAnsi="Arial"/>
                <w:sz w:val="14"/>
                <w:szCs w:val="14"/>
                <w:b w:val="1"/>
                <w:bCs w:val="1"/>
                <w:color w:val="FFFFFF"/>
              </w:rPr>
              <w:t>For More</w:t>
            </w: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C43776"/>
          </w:tcPr>
          <w:p>
            <w:pPr>
              <w:ind w:left="140"/>
              <w:spacing w:after="0"/>
              <w:rPr>
                <w:sz w:val="20"/>
                <w:szCs w:val="20"/>
                <w:color w:val="auto"/>
              </w:rPr>
            </w:pPr>
            <w:r>
              <w:rPr>
                <w:rFonts w:ascii="Arial" w:cs="Arial" w:eastAsia="Arial" w:hAnsi="Arial"/>
                <w:sz w:val="14"/>
                <w:szCs w:val="14"/>
                <w:b w:val="1"/>
                <w:bCs w:val="1"/>
                <w:color w:val="FFFFFF"/>
              </w:rPr>
              <w:t>Proposal</w:t>
            </w:r>
          </w:p>
        </w:tc>
        <w:tc>
          <w:tcPr>
            <w:tcW w:w="2240" w:type="dxa"/>
            <w:vAlign w:val="bottom"/>
            <w:shd w:val="clear" w:color="auto" w:fill="C43776"/>
          </w:tcPr>
          <w:p>
            <w:pPr>
              <w:ind w:left="280"/>
              <w:spacing w:after="0"/>
              <w:rPr>
                <w:sz w:val="20"/>
                <w:szCs w:val="20"/>
                <w:color w:val="auto"/>
              </w:rPr>
            </w:pPr>
            <w:r>
              <w:rPr>
                <w:rFonts w:ascii="Arial" w:cs="Arial" w:eastAsia="Arial" w:hAnsi="Arial"/>
                <w:sz w:val="14"/>
                <w:szCs w:val="14"/>
                <w:b w:val="1"/>
                <w:bCs w:val="1"/>
                <w:color w:val="FFFFFF"/>
              </w:rPr>
              <w:t>Recommendation</w:t>
            </w:r>
          </w:p>
        </w:tc>
        <w:tc>
          <w:tcPr>
            <w:tcW w:w="1320" w:type="dxa"/>
            <w:vAlign w:val="bottom"/>
            <w:shd w:val="clear" w:color="auto" w:fill="C43776"/>
          </w:tcPr>
          <w:p>
            <w:pPr>
              <w:jc w:val="center"/>
              <w:ind w:left="68"/>
              <w:spacing w:after="0"/>
              <w:rPr>
                <w:sz w:val="20"/>
                <w:szCs w:val="20"/>
                <w:color w:val="auto"/>
              </w:rPr>
            </w:pPr>
            <w:r>
              <w:rPr>
                <w:rFonts w:ascii="Arial" w:cs="Arial" w:eastAsia="Arial" w:hAnsi="Arial"/>
                <w:sz w:val="14"/>
                <w:szCs w:val="14"/>
                <w:b w:val="1"/>
                <w:bCs w:val="1"/>
                <w:color w:val="FFFFFF"/>
              </w:rPr>
              <w:t>Information</w:t>
            </w:r>
          </w:p>
        </w:tc>
        <w:tc>
          <w:tcPr>
            <w:tcW w:w="0" w:type="dxa"/>
            <w:vAlign w:val="bottom"/>
          </w:tcPr>
          <w:p>
            <w:pPr>
              <w:spacing w:after="0"/>
              <w:rPr>
                <w:sz w:val="1"/>
                <w:szCs w:val="1"/>
                <w:color w:val="auto"/>
              </w:rPr>
            </w:pPr>
          </w:p>
        </w:tc>
      </w:tr>
      <w:tr>
        <w:trPr>
          <w:trHeight w:val="70"/>
        </w:trPr>
        <w:tc>
          <w:tcPr>
            <w:tcW w:w="500" w:type="dxa"/>
            <w:vAlign w:val="bottom"/>
            <w:shd w:val="clear" w:color="auto" w:fill="C43776"/>
          </w:tcPr>
          <w:p>
            <w:pPr>
              <w:spacing w:after="0"/>
              <w:rPr>
                <w:sz w:val="6"/>
                <w:szCs w:val="6"/>
                <w:color w:val="auto"/>
              </w:rPr>
            </w:pPr>
          </w:p>
        </w:tc>
        <w:tc>
          <w:tcPr>
            <w:tcW w:w="5020" w:type="dxa"/>
            <w:vAlign w:val="bottom"/>
            <w:shd w:val="clear" w:color="auto" w:fill="C43776"/>
          </w:tcPr>
          <w:p>
            <w:pPr>
              <w:spacing w:after="0"/>
              <w:rPr>
                <w:sz w:val="6"/>
                <w:szCs w:val="6"/>
                <w:color w:val="auto"/>
              </w:rPr>
            </w:pPr>
          </w:p>
        </w:tc>
        <w:tc>
          <w:tcPr>
            <w:tcW w:w="2240" w:type="dxa"/>
            <w:vAlign w:val="bottom"/>
            <w:shd w:val="clear" w:color="auto" w:fill="C43776"/>
          </w:tcPr>
          <w:p>
            <w:pPr>
              <w:spacing w:after="0"/>
              <w:rPr>
                <w:sz w:val="6"/>
                <w:szCs w:val="6"/>
                <w:color w:val="auto"/>
              </w:rPr>
            </w:pPr>
          </w:p>
        </w:tc>
        <w:tc>
          <w:tcPr>
            <w:tcW w:w="1320" w:type="dxa"/>
            <w:vAlign w:val="bottom"/>
            <w:shd w:val="clear" w:color="auto" w:fill="C43776"/>
          </w:tcPr>
          <w:p>
            <w:pPr>
              <w:spacing w:after="0"/>
              <w:rPr>
                <w:sz w:val="6"/>
                <w:szCs w:val="6"/>
                <w:color w:val="auto"/>
              </w:rPr>
            </w:pPr>
          </w:p>
        </w:tc>
        <w:tc>
          <w:tcPr>
            <w:tcW w:w="0" w:type="dxa"/>
            <w:vAlign w:val="bottom"/>
          </w:tcPr>
          <w:p>
            <w:pPr>
              <w:spacing w:after="0"/>
              <w:rPr>
                <w:sz w:val="1"/>
                <w:szCs w:val="1"/>
                <w:color w:val="auto"/>
              </w:rPr>
            </w:pPr>
          </w:p>
        </w:tc>
      </w:tr>
      <w:tr>
        <w:trPr>
          <w:trHeight w:val="561"/>
        </w:trPr>
        <w:tc>
          <w:tcPr>
            <w:tcW w:w="500" w:type="dxa"/>
            <w:vAlign w:val="bottom"/>
          </w:tcPr>
          <w:p>
            <w:pPr>
              <w:jc w:val="right"/>
              <w:spacing w:after="0"/>
              <w:rPr>
                <w:sz w:val="20"/>
                <w:szCs w:val="20"/>
                <w:color w:val="auto"/>
              </w:rPr>
            </w:pPr>
            <w:r>
              <w:rPr>
                <w:rFonts w:ascii="Arial" w:cs="Arial" w:eastAsia="Arial" w:hAnsi="Arial"/>
                <w:sz w:val="36"/>
                <w:szCs w:val="36"/>
                <w:color w:val="auto"/>
              </w:rPr>
              <w:t>1</w:t>
            </w:r>
          </w:p>
        </w:tc>
        <w:tc>
          <w:tcPr>
            <w:tcW w:w="5020" w:type="dxa"/>
            <w:vAlign w:val="bottom"/>
          </w:tcPr>
          <w:p>
            <w:pPr>
              <w:ind w:left="100"/>
              <w:spacing w:after="0"/>
              <w:rPr>
                <w:sz w:val="20"/>
                <w:szCs w:val="20"/>
                <w:color w:val="auto"/>
              </w:rPr>
            </w:pPr>
            <w:r>
              <w:rPr>
                <w:rFonts w:ascii="Arial" w:cs="Arial" w:eastAsia="Arial" w:hAnsi="Arial"/>
                <w:sz w:val="14"/>
                <w:szCs w:val="14"/>
                <w:color w:val="auto"/>
              </w:rPr>
              <w:t>To elect the twelve directors</w:t>
            </w:r>
          </w:p>
        </w:tc>
        <w:tc>
          <w:tcPr>
            <w:tcW w:w="2240" w:type="dxa"/>
            <w:vAlign w:val="bottom"/>
          </w:tcPr>
          <w:p>
            <w:pPr>
              <w:ind w:left="280"/>
              <w:spacing w:after="0"/>
              <w:rPr>
                <w:sz w:val="20"/>
                <w:szCs w:val="20"/>
                <w:color w:val="auto"/>
              </w:rPr>
            </w:pPr>
            <w:r>
              <w:rPr>
                <w:rFonts w:ascii="Arial" w:cs="Arial" w:eastAsia="Arial" w:hAnsi="Arial"/>
                <w:sz w:val="18"/>
                <w:szCs w:val="18"/>
                <w:b w:val="1"/>
                <w:bCs w:val="1"/>
                <w:color w:val="C43776"/>
              </w:rPr>
              <w:t>FOR each nominee</w:t>
            </w:r>
          </w:p>
        </w:tc>
        <w:tc>
          <w:tcPr>
            <w:tcW w:w="1320" w:type="dxa"/>
            <w:vAlign w:val="bottom"/>
          </w:tcPr>
          <w:p>
            <w:pPr>
              <w:jc w:val="center"/>
              <w:ind w:left="68"/>
              <w:spacing w:after="0"/>
              <w:rPr>
                <w:sz w:val="20"/>
                <w:szCs w:val="20"/>
                <w:color w:val="auto"/>
              </w:rPr>
            </w:pPr>
            <w:r>
              <w:rPr>
                <w:rFonts w:ascii="Arial" w:cs="Arial" w:eastAsia="Arial" w:hAnsi="Arial"/>
                <w:sz w:val="14"/>
                <w:szCs w:val="14"/>
                <w:b w:val="1"/>
                <w:bCs w:val="1"/>
                <w:color w:val="auto"/>
              </w:rPr>
              <w:t>Page 69</w:t>
            </w:r>
          </w:p>
        </w:tc>
        <w:tc>
          <w:tcPr>
            <w:tcW w:w="0" w:type="dxa"/>
            <w:vAlign w:val="bottom"/>
          </w:tcPr>
          <w:p>
            <w:pPr>
              <w:spacing w:after="0"/>
              <w:rPr>
                <w:sz w:val="1"/>
                <w:szCs w:val="1"/>
                <w:color w:val="auto"/>
              </w:rPr>
            </w:pPr>
          </w:p>
        </w:tc>
      </w:tr>
      <w:tr>
        <w:trPr>
          <w:trHeight w:val="73"/>
        </w:trPr>
        <w:tc>
          <w:tcPr>
            <w:tcW w:w="500" w:type="dxa"/>
            <w:vAlign w:val="bottom"/>
          </w:tcPr>
          <w:p>
            <w:pPr>
              <w:spacing w:after="0"/>
              <w:rPr>
                <w:sz w:val="6"/>
                <w:szCs w:val="6"/>
                <w:color w:val="auto"/>
              </w:rPr>
            </w:pPr>
          </w:p>
        </w:tc>
        <w:tc>
          <w:tcPr>
            <w:tcW w:w="50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500" w:type="dxa"/>
            <w:vAlign w:val="bottom"/>
            <w:vMerge w:val="restart"/>
            <w:shd w:val="clear" w:color="auto" w:fill="F1F2F2"/>
          </w:tcPr>
          <w:p>
            <w:pPr>
              <w:jc w:val="right"/>
              <w:spacing w:after="0"/>
              <w:rPr>
                <w:sz w:val="20"/>
                <w:szCs w:val="20"/>
                <w:color w:val="auto"/>
              </w:rPr>
            </w:pPr>
            <w:r>
              <w:rPr>
                <w:rFonts w:ascii="Arial" w:cs="Arial" w:eastAsia="Arial" w:hAnsi="Arial"/>
                <w:sz w:val="36"/>
                <w:szCs w:val="36"/>
                <w:color w:val="auto"/>
              </w:rPr>
              <w:t>2</w:t>
            </w:r>
          </w:p>
        </w:tc>
        <w:tc>
          <w:tcPr>
            <w:tcW w:w="50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To ratify the reappointment of Ernst &amp; Young LLP as the Company’s</w:t>
            </w:r>
          </w:p>
        </w:tc>
        <w:tc>
          <w:tcPr>
            <w:tcW w:w="2240" w:type="dxa"/>
            <w:vAlign w:val="bottom"/>
            <w:vMerge w:val="restart"/>
            <w:shd w:val="clear" w:color="auto" w:fill="F1F2F2"/>
          </w:tcPr>
          <w:p>
            <w:pPr>
              <w:ind w:left="280"/>
              <w:spacing w:after="0"/>
              <w:rPr>
                <w:sz w:val="20"/>
                <w:szCs w:val="20"/>
                <w:color w:val="auto"/>
              </w:rPr>
            </w:pPr>
            <w:r>
              <w:rPr>
                <w:rFonts w:ascii="Arial" w:cs="Arial" w:eastAsia="Arial" w:hAnsi="Arial"/>
                <w:sz w:val="18"/>
                <w:szCs w:val="18"/>
                <w:b w:val="1"/>
                <w:bCs w:val="1"/>
                <w:color w:val="C43776"/>
              </w:rPr>
              <w:t>FOR</w:t>
            </w:r>
          </w:p>
        </w:tc>
        <w:tc>
          <w:tcPr>
            <w:tcW w:w="1320" w:type="dxa"/>
            <w:vAlign w:val="bottom"/>
            <w:vMerge w:val="restart"/>
            <w:shd w:val="clear" w:color="auto" w:fill="F1F2F2"/>
          </w:tcPr>
          <w:p>
            <w:pPr>
              <w:jc w:val="center"/>
              <w:ind w:left="68"/>
              <w:spacing w:after="0"/>
              <w:rPr>
                <w:sz w:val="20"/>
                <w:szCs w:val="20"/>
                <w:color w:val="auto"/>
              </w:rPr>
            </w:pPr>
            <w:r>
              <w:rPr>
                <w:rFonts w:ascii="Arial" w:cs="Arial" w:eastAsia="Arial" w:hAnsi="Arial"/>
                <w:sz w:val="14"/>
                <w:szCs w:val="14"/>
                <w:b w:val="1"/>
                <w:bCs w:val="1"/>
                <w:color w:val="auto"/>
              </w:rPr>
              <w:t>Page 70</w:t>
            </w:r>
          </w:p>
        </w:tc>
        <w:tc>
          <w:tcPr>
            <w:tcW w:w="0" w:type="dxa"/>
            <w:vAlign w:val="bottom"/>
          </w:tcPr>
          <w:p>
            <w:pPr>
              <w:spacing w:after="0"/>
              <w:rPr>
                <w:sz w:val="1"/>
                <w:szCs w:val="1"/>
                <w:color w:val="auto"/>
              </w:rPr>
            </w:pPr>
          </w:p>
        </w:tc>
      </w:tr>
      <w:tr>
        <w:trPr>
          <w:trHeight w:val="115"/>
        </w:trPr>
        <w:tc>
          <w:tcPr>
            <w:tcW w:w="500" w:type="dxa"/>
            <w:vAlign w:val="bottom"/>
            <w:vMerge w:val="continue"/>
            <w:shd w:val="clear" w:color="auto" w:fill="F1F2F2"/>
          </w:tcPr>
          <w:p>
            <w:pPr>
              <w:spacing w:after="0"/>
              <w:rPr>
                <w:sz w:val="10"/>
                <w:szCs w:val="10"/>
                <w:color w:val="auto"/>
              </w:rPr>
            </w:pPr>
          </w:p>
        </w:tc>
        <w:tc>
          <w:tcPr>
            <w:tcW w:w="5020" w:type="dxa"/>
            <w:vAlign w:val="bottom"/>
            <w:vMerge w:val="restart"/>
            <w:shd w:val="clear" w:color="auto" w:fill="F1F2F2"/>
          </w:tcPr>
          <w:p>
            <w:pPr>
              <w:ind w:left="100"/>
              <w:spacing w:after="0"/>
              <w:rPr>
                <w:sz w:val="20"/>
                <w:szCs w:val="20"/>
                <w:color w:val="auto"/>
              </w:rPr>
            </w:pPr>
            <w:r>
              <w:rPr>
                <w:rFonts w:ascii="Arial" w:cs="Arial" w:eastAsia="Arial" w:hAnsi="Arial"/>
                <w:sz w:val="14"/>
                <w:szCs w:val="14"/>
                <w:color w:val="auto"/>
              </w:rPr>
              <w:t>independent public accounting firm for 2026</w:t>
            </w:r>
          </w:p>
        </w:tc>
        <w:tc>
          <w:tcPr>
            <w:tcW w:w="2240" w:type="dxa"/>
            <w:vAlign w:val="bottom"/>
            <w:vMerge w:val="continue"/>
            <w:shd w:val="clear" w:color="auto" w:fill="F1F2F2"/>
          </w:tcPr>
          <w:p>
            <w:pPr>
              <w:spacing w:after="0"/>
              <w:rPr>
                <w:sz w:val="10"/>
                <w:szCs w:val="10"/>
                <w:color w:val="auto"/>
              </w:rPr>
            </w:pPr>
          </w:p>
        </w:tc>
        <w:tc>
          <w:tcPr>
            <w:tcW w:w="1320" w:type="dxa"/>
            <w:vAlign w:val="bottom"/>
            <w:vMerge w:val="continue"/>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00" w:type="dxa"/>
            <w:vAlign w:val="bottom"/>
            <w:vMerge w:val="continue"/>
            <w:shd w:val="clear" w:color="auto" w:fill="F1F2F2"/>
          </w:tcPr>
          <w:p>
            <w:pPr>
              <w:spacing w:after="0"/>
              <w:rPr>
                <w:sz w:val="11"/>
                <w:szCs w:val="11"/>
                <w:color w:val="auto"/>
              </w:rPr>
            </w:pPr>
          </w:p>
        </w:tc>
        <w:tc>
          <w:tcPr>
            <w:tcW w:w="5020" w:type="dxa"/>
            <w:vAlign w:val="bottom"/>
            <w:vMerge w:val="continue"/>
            <w:shd w:val="clear" w:color="auto" w:fill="F1F2F2"/>
          </w:tcPr>
          <w:p>
            <w:pPr>
              <w:spacing w:after="0"/>
              <w:rPr>
                <w:sz w:val="11"/>
                <w:szCs w:val="11"/>
                <w:color w:val="auto"/>
              </w:rPr>
            </w:pPr>
          </w:p>
        </w:tc>
        <w:tc>
          <w:tcPr>
            <w:tcW w:w="2240" w:type="dxa"/>
            <w:vAlign w:val="bottom"/>
            <w:vMerge w:val="continue"/>
            <w:shd w:val="clear" w:color="auto" w:fill="F1F2F2"/>
          </w:tcPr>
          <w:p>
            <w:pPr>
              <w:spacing w:after="0"/>
              <w:rPr>
                <w:sz w:val="11"/>
                <w:szCs w:val="11"/>
                <w:color w:val="auto"/>
              </w:rPr>
            </w:pPr>
          </w:p>
        </w:tc>
        <w:tc>
          <w:tcPr>
            <w:tcW w:w="1320" w:type="dxa"/>
            <w:vAlign w:val="bottom"/>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00" w:type="dxa"/>
            <w:vAlign w:val="bottom"/>
            <w:shd w:val="clear" w:color="auto" w:fill="F1F2F2"/>
          </w:tcPr>
          <w:p>
            <w:pPr>
              <w:spacing w:after="0"/>
              <w:rPr>
                <w:sz w:val="6"/>
                <w:szCs w:val="6"/>
                <w:color w:val="auto"/>
              </w:rPr>
            </w:pPr>
          </w:p>
        </w:tc>
        <w:tc>
          <w:tcPr>
            <w:tcW w:w="5020" w:type="dxa"/>
            <w:vAlign w:val="bottom"/>
            <w:shd w:val="clear" w:color="auto" w:fill="F1F2F2"/>
          </w:tcPr>
          <w:p>
            <w:pPr>
              <w:spacing w:after="0"/>
              <w:rPr>
                <w:sz w:val="6"/>
                <w:szCs w:val="6"/>
                <w:color w:val="auto"/>
              </w:rPr>
            </w:pPr>
          </w:p>
        </w:tc>
        <w:tc>
          <w:tcPr>
            <w:tcW w:w="2240" w:type="dxa"/>
            <w:vAlign w:val="bottom"/>
            <w:shd w:val="clear" w:color="auto" w:fill="F1F2F2"/>
          </w:tcPr>
          <w:p>
            <w:pPr>
              <w:spacing w:after="0"/>
              <w:rPr>
                <w:sz w:val="6"/>
                <w:szCs w:val="6"/>
                <w:color w:val="auto"/>
              </w:rPr>
            </w:pPr>
          </w:p>
        </w:tc>
        <w:tc>
          <w:tcPr>
            <w:tcW w:w="132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562"/>
        </w:trPr>
        <w:tc>
          <w:tcPr>
            <w:tcW w:w="500" w:type="dxa"/>
            <w:vAlign w:val="bottom"/>
          </w:tcPr>
          <w:p>
            <w:pPr>
              <w:jc w:val="right"/>
              <w:spacing w:after="0"/>
              <w:rPr>
                <w:sz w:val="20"/>
                <w:szCs w:val="20"/>
                <w:color w:val="auto"/>
              </w:rPr>
            </w:pPr>
            <w:r>
              <w:rPr>
                <w:rFonts w:ascii="Arial" w:cs="Arial" w:eastAsia="Arial" w:hAnsi="Arial"/>
                <w:sz w:val="36"/>
                <w:szCs w:val="36"/>
                <w:color w:val="auto"/>
              </w:rPr>
              <w:t>3</w:t>
            </w:r>
          </w:p>
        </w:tc>
        <w:tc>
          <w:tcPr>
            <w:tcW w:w="5020" w:type="dxa"/>
            <w:vAlign w:val="bottom"/>
          </w:tcPr>
          <w:p>
            <w:pPr>
              <w:ind w:left="100"/>
              <w:spacing w:after="0"/>
              <w:rPr>
                <w:sz w:val="20"/>
                <w:szCs w:val="20"/>
                <w:color w:val="auto"/>
              </w:rPr>
            </w:pPr>
            <w:r>
              <w:rPr>
                <w:rFonts w:ascii="Arial" w:cs="Arial" w:eastAsia="Arial" w:hAnsi="Arial"/>
                <w:sz w:val="14"/>
                <w:szCs w:val="14"/>
                <w:color w:val="auto"/>
              </w:rPr>
              <w:t>To approve, on an advisory basis, named executive officer compensation</w:t>
            </w:r>
          </w:p>
        </w:tc>
        <w:tc>
          <w:tcPr>
            <w:tcW w:w="2240" w:type="dxa"/>
            <w:vAlign w:val="bottom"/>
          </w:tcPr>
          <w:p>
            <w:pPr>
              <w:ind w:left="280"/>
              <w:spacing w:after="0"/>
              <w:rPr>
                <w:sz w:val="20"/>
                <w:szCs w:val="20"/>
                <w:color w:val="auto"/>
              </w:rPr>
            </w:pPr>
            <w:r>
              <w:rPr>
                <w:rFonts w:ascii="Arial" w:cs="Arial" w:eastAsia="Arial" w:hAnsi="Arial"/>
                <w:sz w:val="18"/>
                <w:szCs w:val="18"/>
                <w:b w:val="1"/>
                <w:bCs w:val="1"/>
                <w:color w:val="C43776"/>
              </w:rPr>
              <w:t>FOR</w:t>
            </w:r>
          </w:p>
        </w:tc>
        <w:tc>
          <w:tcPr>
            <w:tcW w:w="1320" w:type="dxa"/>
            <w:vAlign w:val="bottom"/>
          </w:tcPr>
          <w:p>
            <w:pPr>
              <w:jc w:val="center"/>
              <w:ind w:left="68"/>
              <w:spacing w:after="0"/>
              <w:rPr>
                <w:sz w:val="20"/>
                <w:szCs w:val="20"/>
                <w:color w:val="auto"/>
              </w:rPr>
            </w:pPr>
            <w:r>
              <w:rPr>
                <w:rFonts w:ascii="Arial" w:cs="Arial" w:eastAsia="Arial" w:hAnsi="Arial"/>
                <w:sz w:val="14"/>
                <w:szCs w:val="14"/>
                <w:b w:val="1"/>
                <w:bCs w:val="1"/>
                <w:color w:val="auto"/>
              </w:rPr>
              <w:t>Page 71</w:t>
            </w:r>
          </w:p>
        </w:tc>
        <w:tc>
          <w:tcPr>
            <w:tcW w:w="0" w:type="dxa"/>
            <w:vAlign w:val="bottom"/>
          </w:tcPr>
          <w:p>
            <w:pPr>
              <w:spacing w:after="0"/>
              <w:rPr>
                <w:sz w:val="1"/>
                <w:szCs w:val="1"/>
                <w:color w:val="auto"/>
              </w:rPr>
            </w:pPr>
          </w:p>
        </w:tc>
      </w:tr>
      <w:tr>
        <w:trPr>
          <w:trHeight w:val="73"/>
        </w:trPr>
        <w:tc>
          <w:tcPr>
            <w:tcW w:w="500" w:type="dxa"/>
            <w:vAlign w:val="bottom"/>
          </w:tcPr>
          <w:p>
            <w:pPr>
              <w:spacing w:after="0"/>
              <w:rPr>
                <w:sz w:val="6"/>
                <w:szCs w:val="6"/>
                <w:color w:val="auto"/>
              </w:rPr>
            </w:pPr>
          </w:p>
        </w:tc>
        <w:tc>
          <w:tcPr>
            <w:tcW w:w="50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500" w:type="dxa"/>
            <w:vAlign w:val="bottom"/>
            <w:vMerge w:val="restart"/>
            <w:shd w:val="clear" w:color="auto" w:fill="F1F2F2"/>
          </w:tcPr>
          <w:p>
            <w:pPr>
              <w:jc w:val="right"/>
              <w:spacing w:after="0"/>
              <w:rPr>
                <w:sz w:val="20"/>
                <w:szCs w:val="20"/>
                <w:color w:val="auto"/>
              </w:rPr>
            </w:pPr>
            <w:r>
              <w:rPr>
                <w:rFonts w:ascii="Arial" w:cs="Arial" w:eastAsia="Arial" w:hAnsi="Arial"/>
                <w:sz w:val="36"/>
                <w:szCs w:val="36"/>
                <w:color w:val="auto"/>
              </w:rPr>
              <w:t>4</w:t>
            </w:r>
          </w:p>
        </w:tc>
        <w:tc>
          <w:tcPr>
            <w:tcW w:w="50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To vote on a shareholder proposal regarding an independent Board Chair</w:t>
            </w:r>
          </w:p>
        </w:tc>
        <w:tc>
          <w:tcPr>
            <w:tcW w:w="2240" w:type="dxa"/>
            <w:vAlign w:val="bottom"/>
            <w:vMerge w:val="restart"/>
            <w:shd w:val="clear" w:color="auto" w:fill="F1F2F2"/>
          </w:tcPr>
          <w:p>
            <w:pPr>
              <w:ind w:left="280"/>
              <w:spacing w:after="0"/>
              <w:rPr>
                <w:sz w:val="20"/>
                <w:szCs w:val="20"/>
                <w:color w:val="auto"/>
              </w:rPr>
            </w:pPr>
            <w:r>
              <w:rPr>
                <w:rFonts w:ascii="Arial" w:cs="Arial" w:eastAsia="Arial" w:hAnsi="Arial"/>
                <w:sz w:val="18"/>
                <w:szCs w:val="18"/>
                <w:b w:val="1"/>
                <w:bCs w:val="1"/>
                <w:color w:val="2C6EC4"/>
              </w:rPr>
              <w:t>AGAINST</w:t>
            </w:r>
          </w:p>
        </w:tc>
        <w:tc>
          <w:tcPr>
            <w:tcW w:w="1320" w:type="dxa"/>
            <w:vAlign w:val="bottom"/>
            <w:vMerge w:val="restart"/>
            <w:shd w:val="clear" w:color="auto" w:fill="F1F2F2"/>
          </w:tcPr>
          <w:p>
            <w:pPr>
              <w:jc w:val="center"/>
              <w:ind w:left="68"/>
              <w:spacing w:after="0"/>
              <w:rPr>
                <w:sz w:val="20"/>
                <w:szCs w:val="20"/>
                <w:color w:val="auto"/>
              </w:rPr>
            </w:pPr>
            <w:r>
              <w:rPr>
                <w:rFonts w:ascii="Arial" w:cs="Arial" w:eastAsia="Arial" w:hAnsi="Arial"/>
                <w:sz w:val="14"/>
                <w:szCs w:val="14"/>
                <w:b w:val="1"/>
                <w:bCs w:val="1"/>
                <w:color w:val="auto"/>
              </w:rPr>
              <w:t>Page 72</w:t>
            </w:r>
          </w:p>
        </w:tc>
        <w:tc>
          <w:tcPr>
            <w:tcW w:w="0" w:type="dxa"/>
            <w:vAlign w:val="bottom"/>
          </w:tcPr>
          <w:p>
            <w:pPr>
              <w:spacing w:after="0"/>
              <w:rPr>
                <w:sz w:val="1"/>
                <w:szCs w:val="1"/>
                <w:color w:val="auto"/>
              </w:rPr>
            </w:pPr>
          </w:p>
        </w:tc>
      </w:tr>
      <w:tr>
        <w:trPr>
          <w:trHeight w:val="115"/>
        </w:trPr>
        <w:tc>
          <w:tcPr>
            <w:tcW w:w="500" w:type="dxa"/>
            <w:vAlign w:val="bottom"/>
            <w:vMerge w:val="continue"/>
            <w:shd w:val="clear" w:color="auto" w:fill="F1F2F2"/>
          </w:tcPr>
          <w:p>
            <w:pPr>
              <w:spacing w:after="0"/>
              <w:rPr>
                <w:sz w:val="10"/>
                <w:szCs w:val="10"/>
                <w:color w:val="auto"/>
              </w:rPr>
            </w:pPr>
          </w:p>
        </w:tc>
        <w:tc>
          <w:tcPr>
            <w:tcW w:w="5020" w:type="dxa"/>
            <w:vAlign w:val="bottom"/>
            <w:vMerge w:val="restart"/>
            <w:shd w:val="clear" w:color="auto" w:fill="F1F2F2"/>
          </w:tcPr>
          <w:p>
            <w:pPr>
              <w:ind w:left="100"/>
              <w:spacing w:after="0"/>
              <w:rPr>
                <w:sz w:val="20"/>
                <w:szCs w:val="20"/>
                <w:color w:val="auto"/>
              </w:rPr>
            </w:pPr>
            <w:r>
              <w:rPr>
                <w:rFonts w:ascii="Arial" w:cs="Arial" w:eastAsia="Arial" w:hAnsi="Arial"/>
                <w:sz w:val="14"/>
                <w:szCs w:val="14"/>
                <w:color w:val="auto"/>
              </w:rPr>
              <w:t>requirement, if properly presented at the meeting</w:t>
            </w:r>
          </w:p>
        </w:tc>
        <w:tc>
          <w:tcPr>
            <w:tcW w:w="2240" w:type="dxa"/>
            <w:vAlign w:val="bottom"/>
            <w:vMerge w:val="continue"/>
            <w:shd w:val="clear" w:color="auto" w:fill="F1F2F2"/>
          </w:tcPr>
          <w:p>
            <w:pPr>
              <w:spacing w:after="0"/>
              <w:rPr>
                <w:sz w:val="10"/>
                <w:szCs w:val="10"/>
                <w:color w:val="auto"/>
              </w:rPr>
            </w:pPr>
          </w:p>
        </w:tc>
        <w:tc>
          <w:tcPr>
            <w:tcW w:w="1320" w:type="dxa"/>
            <w:vAlign w:val="bottom"/>
            <w:vMerge w:val="continue"/>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F1F2F2"/>
            </w:tcBorders>
            <w:vMerge w:val="continue"/>
            <w:shd w:val="clear" w:color="auto" w:fill="F1F2F2"/>
          </w:tcPr>
          <w:p>
            <w:pPr>
              <w:spacing w:after="0"/>
              <w:rPr>
                <w:sz w:val="14"/>
                <w:szCs w:val="14"/>
                <w:color w:val="auto"/>
              </w:rPr>
            </w:pPr>
          </w:p>
        </w:tc>
        <w:tc>
          <w:tcPr>
            <w:tcW w:w="5020" w:type="dxa"/>
            <w:vAlign w:val="bottom"/>
            <w:tcBorders>
              <w:bottom w:val="single" w:sz="8" w:color="F1F2F2"/>
            </w:tcBorders>
            <w:vMerge w:val="continue"/>
            <w:shd w:val="clear" w:color="auto" w:fill="F1F2F2"/>
          </w:tcPr>
          <w:p>
            <w:pPr>
              <w:spacing w:after="0"/>
              <w:rPr>
                <w:sz w:val="14"/>
                <w:szCs w:val="14"/>
                <w:color w:val="auto"/>
              </w:rPr>
            </w:pPr>
          </w:p>
        </w:tc>
        <w:tc>
          <w:tcPr>
            <w:tcW w:w="2240" w:type="dxa"/>
            <w:vAlign w:val="bottom"/>
            <w:tcBorders>
              <w:bottom w:val="single" w:sz="8" w:color="F1F2F2"/>
            </w:tcBorders>
            <w:vMerge w:val="continue"/>
            <w:shd w:val="clear" w:color="auto" w:fill="F1F2F2"/>
          </w:tcPr>
          <w:p>
            <w:pPr>
              <w:spacing w:after="0"/>
              <w:rPr>
                <w:sz w:val="14"/>
                <w:szCs w:val="14"/>
                <w:color w:val="auto"/>
              </w:rPr>
            </w:pPr>
          </w:p>
        </w:tc>
        <w:tc>
          <w:tcPr>
            <w:tcW w:w="1320" w:type="dxa"/>
            <w:vAlign w:val="bottom"/>
            <w:tcBorders>
              <w:bottom w:val="single" w:sz="8" w:color="F1F2F2"/>
            </w:tcBorders>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BE1549"/>
          </w:tcPr>
          <w:p>
            <w:pPr>
              <w:spacing w:after="0"/>
              <w:rPr>
                <w:sz w:val="2"/>
                <w:szCs w:val="2"/>
                <w:color w:val="auto"/>
              </w:rPr>
            </w:pPr>
          </w:p>
        </w:tc>
        <w:tc>
          <w:tcPr>
            <w:tcW w:w="5020" w:type="dxa"/>
            <w:vAlign w:val="bottom"/>
            <w:shd w:val="clear" w:color="auto" w:fill="BE1549"/>
          </w:tcPr>
          <w:p>
            <w:pPr>
              <w:spacing w:after="0"/>
              <w:rPr>
                <w:sz w:val="2"/>
                <w:szCs w:val="2"/>
                <w:color w:val="auto"/>
              </w:rPr>
            </w:pPr>
          </w:p>
        </w:tc>
        <w:tc>
          <w:tcPr>
            <w:tcW w:w="2240" w:type="dxa"/>
            <w:vAlign w:val="bottom"/>
            <w:shd w:val="clear" w:color="auto" w:fill="BE1549"/>
          </w:tcPr>
          <w:p>
            <w:pPr>
              <w:spacing w:after="0"/>
              <w:rPr>
                <w:sz w:val="2"/>
                <w:szCs w:val="2"/>
                <w:color w:val="auto"/>
              </w:rPr>
            </w:pPr>
          </w:p>
        </w:tc>
        <w:tc>
          <w:tcPr>
            <w:tcW w:w="1320" w:type="dxa"/>
            <w:vAlign w:val="bottom"/>
            <w:shd w:val="clear" w:color="auto" w:fill="BE154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For complete information regarding our 2026 annual meeting of shareholders, the proposals to be voted on and our performance, please review the entire Proxy Statement and our 2025 annual report, available at https://investor.corpay.com and proxyvote.com.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5860" w:type="dxa"/>
        <w:tblCellMar>
          <w:top w:w="0" w:type="dxa"/>
          <w:left w:w="0" w:type="dxa"/>
          <w:bottom w:w="0" w:type="dxa"/>
          <w:right w:w="0" w:type="dxa"/>
        </w:tblCellMar>
      </w:tblPr>
      <w:tr>
        <w:trPr>
          <w:trHeight w:val="196"/>
        </w:trPr>
        <w:tc>
          <w:tcPr>
            <w:tcW w:w="2960" w:type="dxa"/>
            <w:vAlign w:val="bottom"/>
          </w:tcPr>
          <w:p>
            <w:pPr>
              <w:spacing w:after="0"/>
              <w:rPr>
                <w:sz w:val="20"/>
                <w:szCs w:val="20"/>
                <w:color w:val="auto"/>
              </w:rPr>
            </w:pPr>
            <w:r>
              <w:rPr>
                <w:rFonts w:ascii="Arial" w:cs="Arial" w:eastAsia="Arial" w:hAnsi="Arial"/>
                <w:sz w:val="13"/>
                <w:szCs w:val="13"/>
                <w:color w:val="auto"/>
              </w:rPr>
              <w:t>2026 Notice of Annual Meeting &amp;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2C6EC4"/>
              </w:rPr>
              <w:t>1</w:t>
            </w:r>
          </w:p>
        </w:tc>
      </w:tr>
    </w:tbl>
    <w:p>
      <w:pPr>
        <w:sectPr>
          <w:pgSz w:w="11900" w:h="16838" w:orient="portrait"/>
          <w:cols w:equalWidth="0" w:num="1">
            <w:col w:w="9080"/>
          </w:cols>
          <w:pgMar w:left="1400" w:top="1440" w:right="1419" w:bottom="1440" w:gutter="0" w:footer="0" w:header="0"/>
        </w:sectPr>
      </w:pPr>
    </w:p>
    <w:bookmarkStart w:id="7" w:name="page8"/>
    <w:bookmarkEnd w:id="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02. Corpay at a Glance</w:t>
      </w:r>
    </w:p>
    <w:p>
      <w:pPr>
        <w:spacing w:after="0" w:line="200" w:lineRule="exact"/>
        <w:rPr>
          <w:sz w:val="20"/>
          <w:szCs w:val="20"/>
          <w:color w:val="auto"/>
        </w:rPr>
      </w:pPr>
    </w:p>
    <w:p>
      <w:pPr>
        <w:spacing w:after="0" w:line="222"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Corpay, Inc. (“Corpay,” or the “Company”) is a leading global corporate payments company that helps businesses and consumers manage and pay their expenses in a simple, controlled manner. We serve businesses, partners, merchants, and consumers in North America, Latin America, the U.K., Europe, and Asia Pacific.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22"/>
        </w:trPr>
        <w:tc>
          <w:tcPr>
            <w:tcW w:w="2200" w:type="dxa"/>
            <w:vAlign w:val="bottom"/>
            <w:tcBorders>
              <w:right w:val="single" w:sz="8" w:color="auto"/>
            </w:tcBorders>
          </w:tcPr>
          <w:p>
            <w:pPr>
              <w:jc w:val="center"/>
              <w:ind w:right="52"/>
              <w:spacing w:after="0"/>
              <w:rPr>
                <w:sz w:val="20"/>
                <w:szCs w:val="20"/>
                <w:color w:val="auto"/>
              </w:rPr>
            </w:pPr>
            <w:r>
              <w:rPr>
                <w:rFonts w:ascii="Arial" w:cs="Arial" w:eastAsia="Arial" w:hAnsi="Arial"/>
                <w:sz w:val="36"/>
                <w:szCs w:val="36"/>
                <w:b w:val="1"/>
                <w:bCs w:val="1"/>
                <w:color w:val="2C6EC4"/>
                <w:w w:val="99"/>
              </w:rPr>
              <w:t>$4.5B</w:t>
            </w:r>
          </w:p>
        </w:tc>
        <w:tc>
          <w:tcPr>
            <w:tcW w:w="2360" w:type="dxa"/>
            <w:vAlign w:val="bottom"/>
            <w:tcBorders>
              <w:right w:val="single" w:sz="8" w:color="auto"/>
            </w:tcBorders>
          </w:tcPr>
          <w:p>
            <w:pPr>
              <w:jc w:val="right"/>
              <w:ind w:right="310"/>
              <w:spacing w:after="0"/>
              <w:rPr>
                <w:sz w:val="20"/>
                <w:szCs w:val="20"/>
                <w:color w:val="auto"/>
              </w:rPr>
            </w:pPr>
            <w:r>
              <w:rPr>
                <w:rFonts w:ascii="Arial" w:cs="Arial" w:eastAsia="Arial" w:hAnsi="Arial"/>
                <w:sz w:val="36"/>
                <w:szCs w:val="36"/>
                <w:b w:val="1"/>
                <w:bCs w:val="1"/>
                <w:color w:val="2C6EC4"/>
              </w:rPr>
              <w:t>800,000+</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36"/>
                <w:szCs w:val="36"/>
                <w:b w:val="1"/>
                <w:bCs w:val="1"/>
                <w:color w:val="2C6EC4"/>
              </w:rPr>
              <w:t>2.6B+</w:t>
            </w:r>
          </w:p>
        </w:tc>
        <w:tc>
          <w:tcPr>
            <w:tcW w:w="1780" w:type="dxa"/>
            <w:vAlign w:val="bottom"/>
          </w:tcPr>
          <w:p>
            <w:pPr>
              <w:jc w:val="right"/>
              <w:spacing w:after="0"/>
              <w:rPr>
                <w:sz w:val="20"/>
                <w:szCs w:val="20"/>
                <w:color w:val="auto"/>
              </w:rPr>
            </w:pPr>
            <w:r>
              <w:rPr>
                <w:rFonts w:ascii="Arial" w:cs="Arial" w:eastAsia="Arial" w:hAnsi="Arial"/>
                <w:sz w:val="36"/>
                <w:szCs w:val="36"/>
                <w:b w:val="1"/>
                <w:bCs w:val="1"/>
                <w:color w:val="2C6EC4"/>
              </w:rPr>
              <w:t>&gt;11,000</w:t>
            </w:r>
          </w:p>
        </w:tc>
        <w:tc>
          <w:tcPr>
            <w:tcW w:w="0" w:type="dxa"/>
            <w:vAlign w:val="bottom"/>
          </w:tcPr>
          <w:p>
            <w:pPr>
              <w:spacing w:after="0"/>
              <w:rPr>
                <w:sz w:val="1"/>
                <w:szCs w:val="1"/>
                <w:color w:val="auto"/>
              </w:rPr>
            </w:pPr>
          </w:p>
        </w:tc>
      </w:tr>
      <w:tr>
        <w:trPr>
          <w:trHeight w:val="203"/>
        </w:trPr>
        <w:tc>
          <w:tcPr>
            <w:tcW w:w="2200" w:type="dxa"/>
            <w:vAlign w:val="bottom"/>
            <w:tcBorders>
              <w:right w:val="single" w:sz="8" w:color="auto"/>
            </w:tcBorders>
            <w:vMerge w:val="restart"/>
          </w:tcPr>
          <w:p>
            <w:pPr>
              <w:jc w:val="center"/>
              <w:ind w:right="52"/>
              <w:spacing w:after="0"/>
              <w:rPr>
                <w:sz w:val="20"/>
                <w:szCs w:val="20"/>
                <w:color w:val="auto"/>
              </w:rPr>
            </w:pPr>
            <w:r>
              <w:rPr>
                <w:rFonts w:ascii="Arial" w:cs="Arial" w:eastAsia="Arial" w:hAnsi="Arial"/>
                <w:sz w:val="16"/>
                <w:szCs w:val="16"/>
                <w:color w:val="auto"/>
              </w:rPr>
              <w:t>ANNUAL REVENUE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CUSTOMERS</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TRANSACTIONS</w:t>
            </w:r>
          </w:p>
        </w:tc>
        <w:tc>
          <w:tcPr>
            <w:tcW w:w="1780" w:type="dxa"/>
            <w:vAlign w:val="bottom"/>
            <w:vMerge w:val="restart"/>
          </w:tcPr>
          <w:p>
            <w:pPr>
              <w:jc w:val="center"/>
              <w:ind w:left="410"/>
              <w:spacing w:after="0"/>
              <w:rPr>
                <w:sz w:val="20"/>
                <w:szCs w:val="20"/>
                <w:color w:val="auto"/>
              </w:rPr>
            </w:pPr>
            <w:r>
              <w:rPr>
                <w:rFonts w:ascii="Arial" w:cs="Arial" w:eastAsia="Arial" w:hAnsi="Arial"/>
                <w:sz w:val="16"/>
                <w:szCs w:val="16"/>
                <w:color w:val="auto"/>
              </w:rPr>
              <w:t>EMPLOYEES</w:t>
            </w:r>
          </w:p>
        </w:tc>
        <w:tc>
          <w:tcPr>
            <w:tcW w:w="0" w:type="dxa"/>
            <w:vAlign w:val="bottom"/>
          </w:tcPr>
          <w:p>
            <w:pPr>
              <w:spacing w:after="0"/>
              <w:rPr>
                <w:sz w:val="1"/>
                <w:szCs w:val="1"/>
                <w:color w:val="auto"/>
              </w:rPr>
            </w:pPr>
          </w:p>
        </w:tc>
      </w:tr>
      <w:tr>
        <w:trPr>
          <w:trHeight w:val="120"/>
        </w:trPr>
        <w:tc>
          <w:tcPr>
            <w:tcW w:w="220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 YEAR</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2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200" w:type="dxa"/>
            <w:vAlign w:val="bottom"/>
          </w:tcPr>
          <w:p>
            <w:pPr>
              <w:spacing w:after="0"/>
              <w:rPr>
                <w:sz w:val="20"/>
                <w:szCs w:val="20"/>
                <w:color w:val="auto"/>
              </w:rPr>
            </w:pPr>
            <w:r>
              <w:rPr>
                <w:rFonts w:ascii="Arial" w:cs="Arial" w:eastAsia="Arial" w:hAnsi="Arial"/>
                <w:sz w:val="13"/>
                <w:szCs w:val="13"/>
                <w:i w:val="1"/>
                <w:iCs w:val="1"/>
                <w:color w:val="auto"/>
              </w:rPr>
              <w:t>As of December 31, 2025</w:t>
            </w: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We estimate that businesses spend approximately $145 trillion annually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errors, inaccurate reimbursement processing, account reconciliation errors, employee misuse and more.</w:t>
      </w:r>
    </w:p>
    <w:p>
      <w:pPr>
        <w:spacing w:after="0" w:line="128"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color w:val="auto"/>
        </w:rPr>
        <w:t>Our wide range of modern payment solutions generally provides control, reporting, and automation benefits superior to many of the payment methods businesses use, such as cash, paper checks, general purpose credit cards, as well as employee pay and reclaim processes. In addition to delivering meaningful value to our customers, our solutions also share several important and attractive business model characteristics including:</w:t>
      </w:r>
    </w:p>
    <w:p>
      <w:pPr>
        <w:spacing w:after="0" w:line="132" w:lineRule="exact"/>
        <w:rPr>
          <w:sz w:val="20"/>
          <w:szCs w:val="20"/>
          <w:color w:val="auto"/>
        </w:rPr>
      </w:pPr>
    </w:p>
    <w:p>
      <w:pPr>
        <w:ind w:left="340" w:right="400" w:hanging="251"/>
        <w:spacing w:after="0" w:line="286" w:lineRule="auto"/>
        <w:tabs>
          <w:tab w:leader="none" w:pos="340" w:val="left"/>
        </w:tabs>
        <w:numPr>
          <w:ilvl w:val="0"/>
          <w:numId w:val="5"/>
        </w:numPr>
        <w:rPr>
          <w:rFonts w:ascii="Arial" w:cs="Arial" w:eastAsia="Arial" w:hAnsi="Arial"/>
          <w:sz w:val="11"/>
          <w:szCs w:val="11"/>
          <w:color w:val="BE1549"/>
        </w:rPr>
      </w:pPr>
      <w:r>
        <w:rPr>
          <w:rFonts w:ascii="Arial" w:cs="Arial" w:eastAsia="Arial" w:hAnsi="Arial"/>
          <w:sz w:val="16"/>
          <w:szCs w:val="16"/>
          <w:color w:val="auto"/>
        </w:rPr>
        <w:t>Majority of revenue is derived primarily from business customers, which tend to have relatively predictable consistent volumes;</w:t>
      </w:r>
    </w:p>
    <w:p>
      <w:pPr>
        <w:spacing w:after="0" w:line="7" w:lineRule="exact"/>
        <w:rPr>
          <w:rFonts w:ascii="Arial" w:cs="Arial" w:eastAsia="Arial" w:hAnsi="Arial"/>
          <w:sz w:val="11"/>
          <w:szCs w:val="11"/>
          <w:color w:val="BE1549"/>
        </w:rPr>
      </w:pPr>
    </w:p>
    <w:p>
      <w:pPr>
        <w:ind w:left="340" w:hanging="251"/>
        <w:spacing w:after="0"/>
        <w:tabs>
          <w:tab w:leader="none" w:pos="340" w:val="left"/>
        </w:tabs>
        <w:numPr>
          <w:ilvl w:val="0"/>
          <w:numId w:val="5"/>
        </w:numPr>
        <w:rPr>
          <w:rFonts w:ascii="Arial" w:cs="Arial" w:eastAsia="Arial" w:hAnsi="Arial"/>
          <w:sz w:val="11"/>
          <w:szCs w:val="11"/>
          <w:color w:val="BE1549"/>
        </w:rPr>
      </w:pPr>
      <w:r>
        <w:rPr>
          <w:rFonts w:ascii="Arial" w:cs="Arial" w:eastAsia="Arial" w:hAnsi="Arial"/>
          <w:sz w:val="16"/>
          <w:szCs w:val="16"/>
          <w:color w:val="auto"/>
        </w:rPr>
        <w:t>Recurring revenue models driven by recurring volume, resulting in predictable revenue;</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5"/>
        </w:numPr>
        <w:rPr>
          <w:rFonts w:ascii="Arial" w:cs="Arial" w:eastAsia="Arial" w:hAnsi="Arial"/>
          <w:sz w:val="11"/>
          <w:szCs w:val="11"/>
          <w:color w:val="BE1549"/>
        </w:rPr>
      </w:pPr>
      <w:r>
        <w:rPr>
          <w:rFonts w:ascii="Arial" w:cs="Arial" w:eastAsia="Arial" w:hAnsi="Arial"/>
          <w:sz w:val="16"/>
          <w:szCs w:val="16"/>
          <w:color w:val="auto"/>
        </w:rPr>
        <w:t>Unique selling systems with common sales approaches, management and reporting;</w:t>
      </w:r>
    </w:p>
    <w:p>
      <w:pPr>
        <w:spacing w:after="0" w:line="59" w:lineRule="exact"/>
        <w:rPr>
          <w:rFonts w:ascii="Arial" w:cs="Arial" w:eastAsia="Arial" w:hAnsi="Arial"/>
          <w:sz w:val="11"/>
          <w:szCs w:val="11"/>
          <w:color w:val="BE1549"/>
        </w:rPr>
      </w:pPr>
    </w:p>
    <w:p>
      <w:pPr>
        <w:ind w:left="340" w:right="340" w:hanging="251"/>
        <w:spacing w:after="0" w:line="290" w:lineRule="auto"/>
        <w:tabs>
          <w:tab w:leader="none" w:pos="340" w:val="left"/>
        </w:tabs>
        <w:numPr>
          <w:ilvl w:val="0"/>
          <w:numId w:val="5"/>
        </w:numPr>
        <w:rPr>
          <w:rFonts w:ascii="Arial" w:cs="Arial" w:eastAsia="Arial" w:hAnsi="Arial"/>
          <w:sz w:val="11"/>
          <w:szCs w:val="11"/>
          <w:color w:val="BE1549"/>
        </w:rPr>
      </w:pPr>
      <w:r>
        <w:rPr>
          <w:rFonts w:ascii="Arial" w:cs="Arial" w:eastAsia="Arial" w:hAnsi="Arial"/>
          <w:sz w:val="16"/>
          <w:szCs w:val="16"/>
          <w:color w:val="auto"/>
        </w:rPr>
        <w:t>Specialized technology platforms and proprietary payment acceptance networks, which we believe create competitive advantages and barriers to entry; and</w:t>
      </w:r>
    </w:p>
    <w:p>
      <w:pPr>
        <w:ind w:left="340" w:right="240" w:hanging="251"/>
        <w:spacing w:after="0" w:line="304" w:lineRule="auto"/>
        <w:tabs>
          <w:tab w:leader="none" w:pos="340" w:val="left"/>
        </w:tabs>
        <w:numPr>
          <w:ilvl w:val="0"/>
          <w:numId w:val="5"/>
        </w:numPr>
        <w:rPr>
          <w:rFonts w:ascii="Arial" w:cs="Arial" w:eastAsia="Arial" w:hAnsi="Arial"/>
          <w:sz w:val="11"/>
          <w:szCs w:val="11"/>
          <w:color w:val="BE1549"/>
        </w:rPr>
      </w:pPr>
      <w:r>
        <w:rPr>
          <w:rFonts w:ascii="Arial" w:cs="Arial" w:eastAsia="Arial" w:hAnsi="Arial"/>
          <w:sz w:val="16"/>
          <w:szCs w:val="16"/>
          <w:color w:val="auto"/>
        </w:rPr>
        <w:t>Attractive EBITDA margins and strong cash flow conversion with relatively limited incremental infrastructure investment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color w:val="C43776"/>
        </w:rPr>
        <w:t>Our Vision</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Corpay’s vision is that every payment is digital, every purchase is controlled, and every related decision is informed. Corpay’s wide range of modern, digitized solutions generally provides control, reporting, and automation benefits superior to many of the payment methods businesses often use, such as cash, paper checks, general purpose credit cards, as well as employee pay and reclaim processes.</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C43776"/>
        </w:rPr>
        <w:t>Our Mission</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Corpay uses modern technology to help companies control business expenses and make payments more safely and securely than ever before. Through the digitalization of payments, we support ecosystems which benefit all participating constituents: payment-making customers, payment-accepting merchants, tax-collecting governments, and Corpay.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2</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1440" w:right="1419" w:bottom="1440" w:gutter="0" w:footer="0" w:header="0"/>
        </w:sectPr>
      </w:pPr>
    </w:p>
    <w:bookmarkStart w:id="8" w:name="page9"/>
    <w:bookmarkEnd w:id="8"/>
    <w:p>
      <w:pPr>
        <w:ind w:left="60"/>
        <w:spacing w:after="0"/>
        <w:tabs>
          <w:tab w:leader="none" w:pos="73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02. CORPAY AT A GLANCE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Our Strategy</w:t>
      </w:r>
    </w:p>
    <w:p>
      <w:pPr>
        <w:spacing w:after="0" w:line="159" w:lineRule="exact"/>
        <w:rPr>
          <w:sz w:val="20"/>
          <w:szCs w:val="20"/>
          <w:color w:val="auto"/>
        </w:rPr>
      </w:pPr>
    </w:p>
    <w:p>
      <w:pPr>
        <w:ind w:right="59"/>
        <w:spacing w:after="0" w:line="258" w:lineRule="auto"/>
        <w:rPr>
          <w:sz w:val="20"/>
          <w:szCs w:val="20"/>
          <w:color w:val="auto"/>
        </w:rPr>
      </w:pPr>
      <w:r>
        <w:rPr>
          <w:rFonts w:ascii="Arial" w:cs="Arial" w:eastAsia="Arial" w:hAnsi="Arial"/>
          <w:sz w:val="16"/>
          <w:szCs w:val="16"/>
          <w:color w:val="auto"/>
        </w:rPr>
        <w:t>We are executing on a strategy of optimizing assets, leveraging similar selling methods, and bundling and cross-selling value-added solutions. We continue to enhance our solutions to displace inferior payment methods, improve customers’ mobile and digital experiences, and extend utility. We actively market and sell to current and prospective customers leveraging a multi-channel go-to-market approach, which includes comprehensive digital channels, direct sales forces and strategic partner relationships. We supplement our organic growth strategy and sales efforts by pursuing attractive acquisition opportunities, which serve to strengthen our market positions and accelerate growth. We have simplified the Company by consolidating into three reportable segments—Corporate Payments, Vehicle Payments and Lodging Payments—and we will rationalize businesses that are not core. With a long, proven operating history, Corpay now serves hundreds of thousands of business customers with millions of cardholders making payments to millions of vendors around the world.</w:t>
      </w:r>
    </w:p>
    <w:p>
      <w:pPr>
        <w:spacing w:after="0" w:line="96" w:lineRule="exact"/>
        <w:rPr>
          <w:sz w:val="20"/>
          <w:szCs w:val="20"/>
          <w:color w:val="auto"/>
        </w:rPr>
      </w:pPr>
    </w:p>
    <w:p>
      <w:pPr>
        <w:spacing w:after="0"/>
        <w:rPr>
          <w:sz w:val="20"/>
          <w:szCs w:val="20"/>
          <w:color w:val="auto"/>
        </w:rPr>
      </w:pPr>
      <w:r>
        <w:rPr>
          <w:rFonts w:ascii="Arial" w:cs="Arial" w:eastAsia="Arial" w:hAnsi="Arial"/>
          <w:sz w:val="32"/>
          <w:szCs w:val="32"/>
          <w:color w:val="C43776"/>
        </w:rPr>
        <w:t>Our Performance</w:t>
      </w:r>
    </w:p>
    <w:p>
      <w:pPr>
        <w:spacing w:after="0" w:line="159" w:lineRule="exact"/>
        <w:rPr>
          <w:sz w:val="20"/>
          <w:szCs w:val="20"/>
          <w:color w:val="auto"/>
        </w:rPr>
      </w:pPr>
    </w:p>
    <w:p>
      <w:pPr>
        <w:ind w:right="579"/>
        <w:spacing w:after="0" w:line="304" w:lineRule="auto"/>
        <w:rPr>
          <w:sz w:val="20"/>
          <w:szCs w:val="20"/>
          <w:color w:val="auto"/>
        </w:rPr>
      </w:pPr>
      <w:r>
        <w:rPr>
          <w:rFonts w:ascii="Arial" w:cs="Arial" w:eastAsia="Arial" w:hAnsi="Arial"/>
          <w:sz w:val="16"/>
          <w:szCs w:val="16"/>
          <w:color w:val="auto"/>
        </w:rPr>
        <w:t>Corpay has delivered a superior track record of growth, generating compound annual growth rates (“CAGR”) of 17% in revenue and 19% in adjusted net income per diluted share (“Adjusted EPS”) since going public in 2010.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1200" w:type="dxa"/>
            <w:vAlign w:val="bottom"/>
          </w:tcPr>
          <w:p>
            <w:pPr>
              <w:jc w:val="center"/>
              <w:ind w:right="228"/>
              <w:spacing w:after="0"/>
              <w:rPr>
                <w:sz w:val="20"/>
                <w:szCs w:val="20"/>
                <w:color w:val="auto"/>
              </w:rPr>
            </w:pPr>
            <w:r>
              <w:rPr>
                <w:rFonts w:ascii="Arial" w:cs="Arial" w:eastAsia="Arial" w:hAnsi="Arial"/>
                <w:sz w:val="13"/>
                <w:szCs w:val="13"/>
                <w:color w:val="2C6EC4"/>
                <w:w w:val="96"/>
              </w:rPr>
              <w:t>2010-2025</w:t>
            </w:r>
          </w:p>
        </w:tc>
        <w:tc>
          <w:tcPr>
            <w:tcW w:w="2220" w:type="dxa"/>
            <w:vAlign w:val="bottom"/>
          </w:tcPr>
          <w:p>
            <w:pPr>
              <w:spacing w:after="0"/>
              <w:rPr>
                <w:sz w:val="14"/>
                <w:szCs w:val="14"/>
                <w:color w:val="auto"/>
              </w:rPr>
            </w:pPr>
          </w:p>
        </w:tc>
        <w:tc>
          <w:tcPr>
            <w:tcW w:w="2280" w:type="dxa"/>
            <w:vAlign w:val="bottom"/>
          </w:tcPr>
          <w:p>
            <w:pPr>
              <w:jc w:val="center"/>
              <w:ind w:left="708"/>
              <w:spacing w:after="0"/>
              <w:rPr>
                <w:sz w:val="20"/>
                <w:szCs w:val="20"/>
                <w:color w:val="auto"/>
              </w:rPr>
            </w:pPr>
            <w:r>
              <w:rPr>
                <w:rFonts w:ascii="Arial" w:cs="Arial" w:eastAsia="Arial" w:hAnsi="Arial"/>
                <w:sz w:val="13"/>
                <w:szCs w:val="13"/>
                <w:color w:val="2C6EC4"/>
                <w:w w:val="96"/>
              </w:rPr>
              <w:t>2010-2025</w:t>
            </w:r>
          </w:p>
        </w:tc>
        <w:tc>
          <w:tcPr>
            <w:tcW w:w="1500" w:type="dxa"/>
            <w:vAlign w:val="bottom"/>
          </w:tcPr>
          <w:p>
            <w:pPr>
              <w:spacing w:after="0"/>
              <w:rPr>
                <w:sz w:val="14"/>
                <w:szCs w:val="14"/>
                <w:color w:val="auto"/>
              </w:rPr>
            </w:pPr>
          </w:p>
        </w:tc>
      </w:tr>
      <w:tr>
        <w:trPr>
          <w:trHeight w:val="275"/>
        </w:trPr>
        <w:tc>
          <w:tcPr>
            <w:tcW w:w="1200" w:type="dxa"/>
            <w:vAlign w:val="bottom"/>
          </w:tcPr>
          <w:p>
            <w:pPr>
              <w:jc w:val="center"/>
              <w:ind w:right="228"/>
              <w:spacing w:after="0" w:line="259" w:lineRule="exact"/>
              <w:rPr>
                <w:sz w:val="20"/>
                <w:szCs w:val="20"/>
                <w:color w:val="auto"/>
              </w:rPr>
            </w:pPr>
            <w:r>
              <w:rPr>
                <w:rFonts w:ascii="Arial" w:cs="Arial" w:eastAsia="Arial" w:hAnsi="Arial"/>
                <w:sz w:val="30"/>
                <w:szCs w:val="30"/>
                <w:b w:val="1"/>
                <w:bCs w:val="1"/>
                <w:color w:val="2C6EC4"/>
              </w:rPr>
              <w:t>17%</w:t>
            </w:r>
          </w:p>
        </w:tc>
        <w:tc>
          <w:tcPr>
            <w:tcW w:w="2220" w:type="dxa"/>
            <w:vAlign w:val="bottom"/>
          </w:tcPr>
          <w:p>
            <w:pPr>
              <w:ind w:left="30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21"/>
                <w:szCs w:val="21"/>
                <w:b w:val="1"/>
                <w:bCs w:val="1"/>
                <w:color w:val="auto"/>
                <w:vertAlign w:val="superscript"/>
              </w:rPr>
              <w:t>(1)</w:t>
            </w:r>
          </w:p>
        </w:tc>
        <w:tc>
          <w:tcPr>
            <w:tcW w:w="2280" w:type="dxa"/>
            <w:vAlign w:val="bottom"/>
          </w:tcPr>
          <w:p>
            <w:pPr>
              <w:jc w:val="center"/>
              <w:ind w:left="688"/>
              <w:spacing w:after="0" w:line="259" w:lineRule="exact"/>
              <w:rPr>
                <w:sz w:val="20"/>
                <w:szCs w:val="20"/>
                <w:color w:val="auto"/>
              </w:rPr>
            </w:pPr>
            <w:r>
              <w:rPr>
                <w:rFonts w:ascii="Arial" w:cs="Arial" w:eastAsia="Arial" w:hAnsi="Arial"/>
                <w:sz w:val="30"/>
                <w:szCs w:val="30"/>
                <w:b w:val="1"/>
                <w:bCs w:val="1"/>
                <w:color w:val="2C6EC4"/>
              </w:rPr>
              <w:t>19%</w:t>
            </w:r>
          </w:p>
        </w:tc>
        <w:tc>
          <w:tcPr>
            <w:tcW w:w="1500" w:type="dxa"/>
            <w:vAlign w:val="bottom"/>
          </w:tcPr>
          <w:p>
            <w:pPr>
              <w:ind w:left="300"/>
              <w:spacing w:after="0"/>
              <w:rPr>
                <w:sz w:val="20"/>
                <w:szCs w:val="20"/>
                <w:color w:val="auto"/>
              </w:rPr>
            </w:pPr>
            <w:r>
              <w:rPr>
                <w:rFonts w:ascii="Arial" w:cs="Arial" w:eastAsia="Arial" w:hAnsi="Arial"/>
                <w:sz w:val="16"/>
                <w:szCs w:val="16"/>
                <w:b w:val="1"/>
                <w:bCs w:val="1"/>
                <w:color w:val="auto"/>
                <w:w w:val="96"/>
              </w:rPr>
              <w:t>Adjusted EPS</w:t>
            </w:r>
            <w:r>
              <w:rPr>
                <w:rFonts w:ascii="Arial" w:cs="Arial" w:eastAsia="Arial" w:hAnsi="Arial"/>
                <w:sz w:val="21"/>
                <w:szCs w:val="21"/>
                <w:b w:val="1"/>
                <w:bCs w:val="1"/>
                <w:color w:val="auto"/>
                <w:w w:val="96"/>
                <w:vertAlign w:val="superscript"/>
              </w:rPr>
              <w:t>(2)</w:t>
            </w:r>
          </w:p>
        </w:tc>
      </w:tr>
      <w:tr>
        <w:trPr>
          <w:trHeight w:val="123"/>
        </w:trPr>
        <w:tc>
          <w:tcPr>
            <w:tcW w:w="1200" w:type="dxa"/>
            <w:vAlign w:val="bottom"/>
          </w:tcPr>
          <w:p>
            <w:pPr>
              <w:spacing w:after="0"/>
              <w:rPr>
                <w:sz w:val="10"/>
                <w:szCs w:val="10"/>
                <w:color w:val="auto"/>
              </w:rPr>
            </w:pPr>
          </w:p>
        </w:tc>
        <w:tc>
          <w:tcPr>
            <w:tcW w:w="2220" w:type="dxa"/>
            <w:vAlign w:val="bottom"/>
          </w:tcPr>
          <w:p>
            <w:pPr>
              <w:ind w:left="300"/>
              <w:spacing w:after="0"/>
              <w:rPr>
                <w:sz w:val="20"/>
                <w:szCs w:val="20"/>
                <w:color w:val="auto"/>
              </w:rPr>
            </w:pPr>
            <w:r>
              <w:rPr>
                <w:rFonts w:ascii="Arial" w:cs="Arial" w:eastAsia="Arial" w:hAnsi="Arial"/>
                <w:sz w:val="9"/>
                <w:szCs w:val="9"/>
                <w:i w:val="1"/>
                <w:iCs w:val="1"/>
                <w:color w:val="auto"/>
              </w:rPr>
              <w:t>(in millions)</w:t>
            </w:r>
          </w:p>
        </w:tc>
        <w:tc>
          <w:tcPr>
            <w:tcW w:w="228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320"/>
        </w:trPr>
        <w:tc>
          <w:tcPr>
            <w:tcW w:w="1200" w:type="dxa"/>
            <w:vAlign w:val="bottom"/>
          </w:tcPr>
          <w:p>
            <w:pPr>
              <w:jc w:val="center"/>
              <w:ind w:right="228"/>
              <w:spacing w:after="0"/>
              <w:rPr>
                <w:sz w:val="20"/>
                <w:szCs w:val="20"/>
                <w:color w:val="auto"/>
              </w:rPr>
            </w:pPr>
            <w:r>
              <w:rPr>
                <w:rFonts w:ascii="Arial" w:cs="Arial" w:eastAsia="Arial" w:hAnsi="Arial"/>
                <w:sz w:val="13"/>
                <w:szCs w:val="13"/>
                <w:color w:val="2C6EC4"/>
                <w:w w:val="95"/>
              </w:rPr>
              <w:t>CAGR</w:t>
            </w:r>
          </w:p>
        </w:tc>
        <w:tc>
          <w:tcPr>
            <w:tcW w:w="2220" w:type="dxa"/>
            <w:vAlign w:val="bottom"/>
          </w:tcPr>
          <w:p>
            <w:pPr>
              <w:spacing w:after="0"/>
              <w:rPr>
                <w:sz w:val="24"/>
                <w:szCs w:val="24"/>
                <w:color w:val="auto"/>
              </w:rPr>
            </w:pPr>
          </w:p>
        </w:tc>
        <w:tc>
          <w:tcPr>
            <w:tcW w:w="2280" w:type="dxa"/>
            <w:vAlign w:val="bottom"/>
          </w:tcPr>
          <w:p>
            <w:pPr>
              <w:jc w:val="center"/>
              <w:ind w:left="708"/>
              <w:spacing w:after="0"/>
              <w:rPr>
                <w:sz w:val="20"/>
                <w:szCs w:val="20"/>
                <w:color w:val="auto"/>
              </w:rPr>
            </w:pPr>
            <w:r>
              <w:rPr>
                <w:rFonts w:ascii="Arial" w:cs="Arial" w:eastAsia="Arial" w:hAnsi="Arial"/>
                <w:sz w:val="13"/>
                <w:szCs w:val="13"/>
                <w:color w:val="2C6EC4"/>
                <w:w w:val="95"/>
              </w:rPr>
              <w:t>CAGR</w:t>
            </w:r>
          </w:p>
        </w:tc>
        <w:tc>
          <w:tcPr>
            <w:tcW w:w="1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Revenues before 2018 are presented pre-adoption of ASC 606.</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Non-GAAP financial measure. See appendix for reconciliation of non-GAAP measures to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860" w:type="dxa"/>
        <w:tblCellMar>
          <w:top w:w="0" w:type="dxa"/>
          <w:left w:w="0" w:type="dxa"/>
          <w:bottom w:w="0" w:type="dxa"/>
          <w:right w:w="0" w:type="dxa"/>
        </w:tblCellMar>
      </w:tblPr>
      <w:tr>
        <w:trPr>
          <w:trHeight w:val="196"/>
        </w:trPr>
        <w:tc>
          <w:tcPr>
            <w:tcW w:w="2960" w:type="dxa"/>
            <w:vAlign w:val="bottom"/>
          </w:tcPr>
          <w:p>
            <w:pPr>
              <w:spacing w:after="0"/>
              <w:rPr>
                <w:sz w:val="20"/>
                <w:szCs w:val="20"/>
                <w:color w:val="auto"/>
              </w:rPr>
            </w:pPr>
            <w:r>
              <w:rPr>
                <w:rFonts w:ascii="Arial" w:cs="Arial" w:eastAsia="Arial" w:hAnsi="Arial"/>
                <w:sz w:val="13"/>
                <w:szCs w:val="13"/>
                <w:color w:val="auto"/>
              </w:rPr>
              <w:t>2026 Notice of Annual Meeting &amp;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2C6EC4"/>
              </w:rPr>
              <w:t>3</w:t>
            </w:r>
          </w:p>
        </w:tc>
      </w:tr>
    </w:tbl>
    <w:p>
      <w:pPr>
        <w:sectPr>
          <w:pgSz w:w="11900" w:h="16838" w:orient="portrait"/>
          <w:cols w:equalWidth="0" w:num="1">
            <w:col w:w="9059"/>
          </w:cols>
          <w:pgMar w:left="1400" w:top="770" w:right="1440" w:bottom="1440" w:gutter="0" w:footer="0" w:header="0"/>
        </w:sectPr>
      </w:pPr>
    </w:p>
    <w:bookmarkStart w:id="9" w:name="page10"/>
    <w:bookmarkEnd w:id="9"/>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02. CORPAY AT A GLANCE</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Our Board of Directors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order to oversee our complex, global business, our Board of Directors (the “Board”) is comprised of experienced individuals who are engaged in their duties and invested in our Company’s success. Our Board recognizes the importance of independence from management and ensures its responsiveness to shareholders by directly connecting directors’ interests with those of our shareholders. Our Board and management have taken a long-term view toward shareholder engagement and recognize that continuous solicitation and consideration of shareholder feedback is critical to driving growth and creating shareholder value.</w:t>
      </w:r>
    </w:p>
    <w:p>
      <w:pPr>
        <w:spacing w:after="0" w:line="319" w:lineRule="exact"/>
        <w:rPr>
          <w:sz w:val="20"/>
          <w:szCs w:val="20"/>
          <w:color w:val="auto"/>
        </w:rPr>
      </w:pPr>
    </w:p>
    <w:p>
      <w:pPr>
        <w:ind w:right="700"/>
        <w:spacing w:after="0" w:line="304" w:lineRule="auto"/>
        <w:rPr>
          <w:sz w:val="20"/>
          <w:szCs w:val="20"/>
          <w:color w:val="auto"/>
        </w:rPr>
      </w:pPr>
      <w:r>
        <w:rPr>
          <w:rFonts w:ascii="Arial" w:cs="Arial" w:eastAsia="Arial" w:hAnsi="Arial"/>
          <w:sz w:val="16"/>
          <w:szCs w:val="16"/>
          <w:color w:val="auto"/>
        </w:rPr>
        <w:t>As a result, we regularly engage with our shareholders throughout the year by multiple means to encourage ongoing, meaningful dialogue.</w:t>
      </w:r>
    </w:p>
    <w:p>
      <w:pPr>
        <w:spacing w:after="0" w:line="87"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We encourage you to visit the “Governance” area of the “Investor Relations” section of our website (https:// investor.corpay.com) where you will find detailed information about our corporate governance practices, including our key governance documents listed below:</w:t>
      </w:r>
    </w:p>
    <w:p>
      <w:pPr>
        <w:spacing w:after="0" w:line="110" w:lineRule="exact"/>
        <w:rPr>
          <w:sz w:val="20"/>
          <w:szCs w:val="20"/>
          <w:color w:val="auto"/>
        </w:rPr>
      </w:pPr>
    </w:p>
    <w:p>
      <w:pPr>
        <w:ind w:left="340" w:hanging="251"/>
        <w:spacing w:after="0"/>
        <w:tabs>
          <w:tab w:leader="none" w:pos="340" w:val="left"/>
        </w:tabs>
        <w:numPr>
          <w:ilvl w:val="0"/>
          <w:numId w:val="7"/>
        </w:numPr>
        <w:rPr>
          <w:rFonts w:ascii="Arial" w:cs="Arial" w:eastAsia="Arial" w:hAnsi="Arial"/>
          <w:sz w:val="11"/>
          <w:szCs w:val="11"/>
          <w:color w:val="BE1549"/>
        </w:rPr>
      </w:pPr>
      <w:r>
        <w:rPr>
          <w:rFonts w:ascii="Arial" w:cs="Arial" w:eastAsia="Arial" w:hAnsi="Arial"/>
          <w:sz w:val="16"/>
          <w:szCs w:val="16"/>
          <w:color w:val="auto"/>
        </w:rPr>
        <w:t>Code of Business Conduct and Ethics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7"/>
        </w:numPr>
        <w:rPr>
          <w:rFonts w:ascii="Arial" w:cs="Arial" w:eastAsia="Arial" w:hAnsi="Arial"/>
          <w:sz w:val="11"/>
          <w:szCs w:val="11"/>
          <w:color w:val="BE1549"/>
        </w:rPr>
      </w:pPr>
      <w:r>
        <w:rPr>
          <w:rFonts w:ascii="Arial" w:cs="Arial" w:eastAsia="Arial" w:hAnsi="Arial"/>
          <w:sz w:val="16"/>
          <w:szCs w:val="16"/>
          <w:color w:val="auto"/>
        </w:rPr>
        <w:t>Policy Regarding Interested Party Communications with the Board of Directors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7"/>
        </w:numPr>
        <w:rPr>
          <w:rFonts w:ascii="Arial" w:cs="Arial" w:eastAsia="Arial" w:hAnsi="Arial"/>
          <w:sz w:val="11"/>
          <w:szCs w:val="11"/>
          <w:color w:val="BE1549"/>
        </w:rPr>
      </w:pPr>
      <w:r>
        <w:rPr>
          <w:rFonts w:ascii="Arial" w:cs="Arial" w:eastAsia="Arial" w:hAnsi="Arial"/>
          <w:sz w:val="16"/>
          <w:szCs w:val="16"/>
          <w:color w:val="auto"/>
        </w:rPr>
        <w:t>Corporate Governance Guidelines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7"/>
        </w:numPr>
        <w:rPr>
          <w:rFonts w:ascii="Arial" w:cs="Arial" w:eastAsia="Arial" w:hAnsi="Arial"/>
          <w:sz w:val="11"/>
          <w:szCs w:val="11"/>
          <w:color w:val="BE1549"/>
        </w:rPr>
      </w:pPr>
      <w:r>
        <w:rPr>
          <w:rFonts w:ascii="Arial" w:cs="Arial" w:eastAsia="Arial" w:hAnsi="Arial"/>
          <w:sz w:val="16"/>
          <w:szCs w:val="16"/>
          <w:color w:val="auto"/>
        </w:rPr>
        <w:t>Insider Trading Policy</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7"/>
        </w:numPr>
        <w:rPr>
          <w:rFonts w:ascii="Arial" w:cs="Arial" w:eastAsia="Arial" w:hAnsi="Arial"/>
          <w:sz w:val="11"/>
          <w:szCs w:val="11"/>
          <w:color w:val="BE1549"/>
        </w:rPr>
      </w:pPr>
      <w:r>
        <w:rPr>
          <w:rFonts w:ascii="Arial" w:cs="Arial" w:eastAsia="Arial" w:hAnsi="Arial"/>
          <w:sz w:val="16"/>
          <w:szCs w:val="16"/>
          <w:color w:val="auto"/>
        </w:rPr>
        <w:t>Board Committee Charters</w:t>
      </w:r>
    </w:p>
    <w:p>
      <w:pPr>
        <w:spacing w:after="0" w:line="16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reports and other information contained on websites referred to in this Proxy Statement (other than to the extent specifically referred to herein as required by the rules of the NYSE or the SEC) are not part of this proxy solicitation and are not incorporated by reference into this Proxy Statement or any other proxy materials.</w:t>
      </w:r>
    </w:p>
    <w:p>
      <w:pPr>
        <w:spacing w:after="0" w:line="82" w:lineRule="exact"/>
        <w:rPr>
          <w:sz w:val="20"/>
          <w:szCs w:val="20"/>
          <w:color w:val="auto"/>
        </w:rPr>
      </w:pPr>
    </w:p>
    <w:p>
      <w:pPr>
        <w:spacing w:after="0"/>
        <w:rPr>
          <w:sz w:val="20"/>
          <w:szCs w:val="20"/>
          <w:color w:val="auto"/>
        </w:rPr>
      </w:pPr>
      <w:r>
        <w:rPr>
          <w:rFonts w:ascii="Arial" w:cs="Arial" w:eastAsia="Arial" w:hAnsi="Arial"/>
          <w:sz w:val="32"/>
          <w:szCs w:val="32"/>
          <w:color w:val="C43776"/>
        </w:rPr>
        <w:t>Forward-Leaning Corporate Governance</w:t>
      </w:r>
    </w:p>
    <w:p>
      <w:pPr>
        <w:spacing w:after="0" w:line="159"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In response to our shareholder engagement efforts and recent shareholder votes at our annual meetings, we have taken significant steps to adopt many corporate governance best practices:</w:t>
      </w:r>
    </w:p>
    <w:p>
      <w:pPr>
        <w:spacing w:after="0" w:line="87" w:lineRule="exact"/>
        <w:rPr>
          <w:sz w:val="20"/>
          <w:szCs w:val="20"/>
          <w:color w:val="auto"/>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Declassified Board of Directors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Lead Independent Director</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Majority voting in Director elections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Expanded shareholder engagement</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Proxy access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Shareholder right to call special meetings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Shareholder right to act by written consent</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No supermajority shareholder voting</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Regular review of governance practices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8"/>
        </w:numPr>
        <w:rPr>
          <w:rFonts w:ascii="Arial" w:cs="Arial" w:eastAsia="Arial" w:hAnsi="Arial"/>
          <w:sz w:val="11"/>
          <w:szCs w:val="11"/>
          <w:color w:val="BE1549"/>
        </w:rPr>
      </w:pPr>
      <w:r>
        <w:rPr>
          <w:rFonts w:ascii="Arial" w:cs="Arial" w:eastAsia="Arial" w:hAnsi="Arial"/>
          <w:sz w:val="16"/>
          <w:szCs w:val="16"/>
          <w:color w:val="auto"/>
        </w:rPr>
        <w:t>Continued publication of our annual Corporate Responsibility and Sustainability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sectPr>
      </w:pPr>
    </w:p>
    <w:bookmarkStart w:id="10" w:name="page11"/>
    <w:bookmarkEnd w:id="10"/>
    <w:p>
      <w:pPr>
        <w:ind w:left="60"/>
        <w:spacing w:after="0"/>
        <w:tabs>
          <w:tab w:leader="none" w:pos="73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02. CORPAY AT A GLANCE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Forward-Leaning Compensation Practices</w:t>
      </w:r>
    </w:p>
    <w:p>
      <w:pPr>
        <w:spacing w:after="0" w:line="159" w:lineRule="exact"/>
        <w:rPr>
          <w:sz w:val="20"/>
          <w:szCs w:val="20"/>
          <w:color w:val="auto"/>
        </w:rPr>
      </w:pPr>
    </w:p>
    <w:p>
      <w:pPr>
        <w:ind w:right="679"/>
        <w:spacing w:after="0" w:line="286" w:lineRule="auto"/>
        <w:rPr>
          <w:sz w:val="20"/>
          <w:szCs w:val="20"/>
          <w:color w:val="auto"/>
        </w:rPr>
      </w:pPr>
      <w:r>
        <w:rPr>
          <w:rFonts w:ascii="Arial" w:cs="Arial" w:eastAsia="Arial" w:hAnsi="Arial"/>
          <w:sz w:val="16"/>
          <w:szCs w:val="16"/>
          <w:color w:val="auto"/>
        </w:rPr>
        <w:t>Corpay has embraced best practices in our compensation programs, which strongly support our pay-for-performance philosophy and culture:</w:t>
      </w:r>
    </w:p>
    <w:p>
      <w:pPr>
        <w:spacing w:after="0" w:line="115" w:lineRule="exact"/>
        <w:rPr>
          <w:sz w:val="20"/>
          <w:szCs w:val="20"/>
          <w:color w:val="auto"/>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Named executive officer (“NEO”) compensation aligned with Company and, as applicable, division performance</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Total target pay levels generally at or below peer median</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Significant portion of NEO compensation generally delivered in the form of equity-based awards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Different performance metrics for different compensation components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Incentive payouts tied closely to achieving published guidance</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Significant stock ownership requirements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No repricing or cashing out of underwater stock options or stock appreciation rights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No hedging or pledging of common shares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No excise tax gross-ups</w:t>
      </w:r>
    </w:p>
    <w:p>
      <w:pPr>
        <w:spacing w:after="0" w:line="59" w:lineRule="exact"/>
        <w:rPr>
          <w:rFonts w:ascii="Arial" w:cs="Arial" w:eastAsia="Arial" w:hAnsi="Arial"/>
          <w:sz w:val="11"/>
          <w:szCs w:val="11"/>
          <w:color w:val="BE1549"/>
        </w:rPr>
      </w:pPr>
    </w:p>
    <w:p>
      <w:pPr>
        <w:ind w:left="340" w:right="479" w:hanging="251"/>
        <w:spacing w:after="0" w:line="290" w:lineRule="auto"/>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Maintain a compensation clawback policy that exceeds the Dodd-Frank Act requirements by extending to executive misconduct</w:t>
      </w: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Below-market severance policies</w:t>
      </w:r>
    </w:p>
    <w:p>
      <w:pPr>
        <w:spacing w:after="0" w:line="59" w:lineRule="exact"/>
        <w:rPr>
          <w:rFonts w:ascii="Arial" w:cs="Arial" w:eastAsia="Arial" w:hAnsi="Arial"/>
          <w:sz w:val="11"/>
          <w:szCs w:val="11"/>
          <w:color w:val="BE1549"/>
        </w:rPr>
      </w:pPr>
    </w:p>
    <w:p>
      <w:pPr>
        <w:ind w:left="340" w:right="639" w:hanging="251"/>
        <w:spacing w:after="0" w:line="290" w:lineRule="auto"/>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Shareholder engagement includes nomination and governance committee Chair, compensation committee Chair, additional Board members and management</w:t>
      </w:r>
    </w:p>
    <w:p>
      <w:pPr>
        <w:ind w:left="340" w:hanging="251"/>
        <w:spacing w:after="0"/>
        <w:tabs>
          <w:tab w:leader="none" w:pos="340" w:val="left"/>
        </w:tabs>
        <w:numPr>
          <w:ilvl w:val="0"/>
          <w:numId w:val="9"/>
        </w:numPr>
        <w:rPr>
          <w:rFonts w:ascii="Arial" w:cs="Arial" w:eastAsia="Arial" w:hAnsi="Arial"/>
          <w:sz w:val="11"/>
          <w:szCs w:val="11"/>
          <w:color w:val="BE1549"/>
        </w:rPr>
      </w:pPr>
      <w:r>
        <w:rPr>
          <w:rFonts w:ascii="Arial" w:cs="Arial" w:eastAsia="Arial" w:hAnsi="Arial"/>
          <w:sz w:val="16"/>
          <w:szCs w:val="16"/>
          <w:color w:val="auto"/>
        </w:rPr>
        <w:t>Utilize an independent compensation consultant</w:t>
      </w:r>
    </w:p>
    <w:p>
      <w:pPr>
        <w:spacing w:after="0" w:line="153" w:lineRule="exact"/>
        <w:rPr>
          <w:sz w:val="20"/>
          <w:szCs w:val="20"/>
          <w:color w:val="auto"/>
        </w:rPr>
      </w:pPr>
    </w:p>
    <w:p>
      <w:pPr>
        <w:spacing w:after="0"/>
        <w:rPr>
          <w:sz w:val="20"/>
          <w:szCs w:val="20"/>
          <w:color w:val="auto"/>
        </w:rPr>
      </w:pPr>
      <w:r>
        <w:rPr>
          <w:rFonts w:ascii="Arial" w:cs="Arial" w:eastAsia="Arial" w:hAnsi="Arial"/>
          <w:sz w:val="32"/>
          <w:szCs w:val="32"/>
          <w:color w:val="C43776"/>
        </w:rPr>
        <w:t>Shareholder Engagement Results</w:t>
      </w:r>
    </w:p>
    <w:p>
      <w:pPr>
        <w:spacing w:after="0" w:line="146" w:lineRule="exact"/>
        <w:rPr>
          <w:sz w:val="20"/>
          <w:szCs w:val="20"/>
          <w:color w:val="auto"/>
        </w:rPr>
      </w:pPr>
    </w:p>
    <w:p>
      <w:pPr>
        <w:ind w:right="39"/>
        <w:spacing w:after="0" w:line="261" w:lineRule="auto"/>
        <w:rPr>
          <w:sz w:val="20"/>
          <w:szCs w:val="20"/>
          <w:color w:val="auto"/>
        </w:rPr>
      </w:pPr>
      <w:r>
        <w:rPr>
          <w:rFonts w:ascii="Arial" w:cs="Arial" w:eastAsia="Arial" w:hAnsi="Arial"/>
          <w:sz w:val="16"/>
          <w:szCs w:val="16"/>
          <w:color w:val="auto"/>
        </w:rPr>
        <w:t>Our 2025 shareholder outreach was a continuation of our annual comprehensive shareholder engagement plan. We have taken decisive action in recent years in response to our shareholder outreach initiatives and we believe that our practices address the feedback we received. Our shareholder engagement ensured that we heard the feedback of our shareholders—in addition to generous access to the management team, after we mailed the 2025 Proxy Statement, but before the 2025 shareholder meeting, we offered the opportunity to discuss our Proxy Statement with our top 10 shareholders as of December 31, 2024.</w:t>
      </w:r>
    </w:p>
    <w:p>
      <w:pPr>
        <w:spacing w:after="0" w:line="136" w:lineRule="exact"/>
        <w:rPr>
          <w:sz w:val="20"/>
          <w:szCs w:val="20"/>
          <w:color w:val="auto"/>
        </w:rPr>
      </w:pPr>
    </w:p>
    <w:p>
      <w:pPr>
        <w:ind w:right="459"/>
        <w:spacing w:after="0" w:line="275" w:lineRule="auto"/>
        <w:rPr>
          <w:sz w:val="20"/>
          <w:szCs w:val="20"/>
          <w:color w:val="auto"/>
        </w:rPr>
      </w:pPr>
      <w:r>
        <w:rPr>
          <w:rFonts w:ascii="Arial" w:cs="Arial" w:eastAsia="Arial" w:hAnsi="Arial"/>
          <w:sz w:val="16"/>
          <w:szCs w:val="16"/>
          <w:color w:val="auto"/>
        </w:rPr>
        <w:t>We invited shareholders representing approximately 52% of our shares outstanding as of December 31, 2024 to discuss matters that were presented at our 2025 shareholder meeting, including our executive compensation program; 20% of contacted shareholders accepted our invitation and completed a call with a board member.</w:t>
      </w:r>
    </w:p>
    <w:p>
      <w:pPr>
        <w:spacing w:after="0" w:line="110" w:lineRule="exact"/>
        <w:rPr>
          <w:sz w:val="20"/>
          <w:szCs w:val="20"/>
          <w:color w:val="auto"/>
        </w:rPr>
      </w:pPr>
    </w:p>
    <w:p>
      <w:pPr>
        <w:ind w:right="159"/>
        <w:spacing w:after="0" w:line="275" w:lineRule="auto"/>
        <w:rPr>
          <w:sz w:val="20"/>
          <w:szCs w:val="20"/>
          <w:color w:val="auto"/>
        </w:rPr>
      </w:pPr>
      <w:r>
        <w:rPr>
          <w:rFonts w:ascii="Arial" w:cs="Arial" w:eastAsia="Arial" w:hAnsi="Arial"/>
          <w:sz w:val="16"/>
          <w:szCs w:val="16"/>
          <w:color w:val="auto"/>
        </w:rPr>
        <w:t>Additionally, our senior management attended multiple, quarterly sell-side hosted investor events, and met with investors representing more than 60% of our shares outstanding as of December 31, 2024 throughout 2025 to discuss the Company’s performance and short and long-term strategic direction.</w:t>
      </w:r>
    </w:p>
    <w:p>
      <w:pPr>
        <w:spacing w:after="0" w:line="88" w:lineRule="exact"/>
        <w:rPr>
          <w:sz w:val="20"/>
          <w:szCs w:val="20"/>
          <w:color w:val="auto"/>
        </w:rPr>
      </w:pPr>
    </w:p>
    <w:p>
      <w:pPr>
        <w:spacing w:after="0"/>
        <w:tabs>
          <w:tab w:leader="none" w:pos="3120" w:val="left"/>
          <w:tab w:leader="none" w:pos="6260" w:val="left"/>
        </w:tabs>
        <w:rPr>
          <w:sz w:val="20"/>
          <w:szCs w:val="20"/>
          <w:color w:val="auto"/>
        </w:rPr>
      </w:pPr>
      <w:r>
        <w:rPr>
          <w:rFonts w:ascii="Arial" w:cs="Arial" w:eastAsia="Arial" w:hAnsi="Arial"/>
          <w:sz w:val="25"/>
          <w:szCs w:val="25"/>
          <w:color w:val="auto"/>
        </w:rPr>
        <w:t>Who We Engage:</w:t>
      </w:r>
      <w:r>
        <w:rPr>
          <w:sz w:val="20"/>
          <w:szCs w:val="20"/>
          <w:color w:val="auto"/>
        </w:rPr>
        <w:tab/>
      </w:r>
      <w:r>
        <w:rPr>
          <w:rFonts w:ascii="Arial" w:cs="Arial" w:eastAsia="Arial" w:hAnsi="Arial"/>
          <w:sz w:val="25"/>
          <w:szCs w:val="25"/>
          <w:color w:val="auto"/>
        </w:rPr>
        <w:t>How We Engage:</w:t>
      </w:r>
      <w:r>
        <w:rPr>
          <w:sz w:val="20"/>
          <w:szCs w:val="20"/>
          <w:color w:val="auto"/>
        </w:rPr>
        <w:tab/>
      </w:r>
      <w:r>
        <w:rPr>
          <w:rFonts w:ascii="Arial" w:cs="Arial" w:eastAsia="Arial" w:hAnsi="Arial"/>
          <w:sz w:val="25"/>
          <w:szCs w:val="25"/>
          <w:color w:val="auto"/>
        </w:rPr>
        <w:t>How We Communicate:</w:t>
      </w:r>
    </w:p>
    <w:p>
      <w:pPr>
        <w:sectPr>
          <w:pgSz w:w="11900" w:h="16838" w:orient="portrait"/>
          <w:cols w:equalWidth="0" w:num="1">
            <w:col w:w="9059"/>
          </w:cols>
          <w:pgMar w:left="1400" w:top="770" w:right="1440" w:bottom="1440" w:gutter="0" w:footer="0" w:header="0"/>
        </w:sectPr>
      </w:pP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140" w:type="dxa"/>
            <w:vAlign w:val="bottom"/>
          </w:tcPr>
          <w:p>
            <w:pPr>
              <w:spacing w:after="0"/>
              <w:rPr>
                <w:sz w:val="20"/>
                <w:szCs w:val="20"/>
                <w:color w:val="auto"/>
              </w:rPr>
            </w:pPr>
            <w:r>
              <w:rPr>
                <w:rFonts w:ascii="Arial" w:cs="Arial" w:eastAsia="Arial" w:hAnsi="Arial"/>
                <w:sz w:val="11"/>
                <w:szCs w:val="11"/>
                <w:color w:val="BE1549"/>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Institutional shareholders</w:t>
            </w:r>
          </w:p>
        </w:tc>
        <w:tc>
          <w:tcPr>
            <w:tcW w:w="680" w:type="dxa"/>
            <w:vAlign w:val="bottom"/>
          </w:tcPr>
          <w:p>
            <w:pPr>
              <w:ind w:left="540"/>
              <w:spacing w:after="0"/>
              <w:rPr>
                <w:sz w:val="20"/>
                <w:szCs w:val="20"/>
                <w:color w:val="auto"/>
              </w:rPr>
            </w:pPr>
            <w:r>
              <w:rPr>
                <w:rFonts w:ascii="Arial" w:cs="Arial" w:eastAsia="Arial" w:hAnsi="Arial"/>
                <w:sz w:val="11"/>
                <w:szCs w:val="11"/>
                <w:color w:val="BE1549"/>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Quarterly earnings calls</w:t>
            </w:r>
          </w:p>
        </w:tc>
      </w:tr>
      <w:tr>
        <w:trPr>
          <w:trHeight w:val="243"/>
        </w:trPr>
        <w:tc>
          <w:tcPr>
            <w:tcW w:w="140" w:type="dxa"/>
            <w:vAlign w:val="bottom"/>
          </w:tcPr>
          <w:p>
            <w:pPr>
              <w:spacing w:after="0"/>
              <w:rPr>
                <w:sz w:val="20"/>
                <w:szCs w:val="20"/>
                <w:color w:val="auto"/>
              </w:rPr>
            </w:pPr>
            <w:r>
              <w:rPr>
                <w:rFonts w:ascii="Arial" w:cs="Arial" w:eastAsia="Arial" w:hAnsi="Arial"/>
                <w:sz w:val="11"/>
                <w:szCs w:val="11"/>
                <w:color w:val="BE1549"/>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Sell-side analysts</w:t>
            </w:r>
          </w:p>
        </w:tc>
        <w:tc>
          <w:tcPr>
            <w:tcW w:w="680" w:type="dxa"/>
            <w:vAlign w:val="bottom"/>
          </w:tcPr>
          <w:p>
            <w:pPr>
              <w:ind w:left="540"/>
              <w:spacing w:after="0"/>
              <w:rPr>
                <w:sz w:val="20"/>
                <w:szCs w:val="20"/>
                <w:color w:val="auto"/>
              </w:rPr>
            </w:pPr>
            <w:r>
              <w:rPr>
                <w:rFonts w:ascii="Arial" w:cs="Arial" w:eastAsia="Arial" w:hAnsi="Arial"/>
                <w:sz w:val="11"/>
                <w:szCs w:val="11"/>
                <w:color w:val="BE1549"/>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Investor conferences</w:t>
            </w:r>
          </w:p>
        </w:tc>
      </w:tr>
      <w:tr>
        <w:trPr>
          <w:trHeight w:val="231"/>
        </w:trPr>
        <w:tc>
          <w:tcPr>
            <w:tcW w:w="140" w:type="dxa"/>
            <w:vAlign w:val="bottom"/>
          </w:tcPr>
          <w:p>
            <w:pPr>
              <w:spacing w:after="0"/>
              <w:rPr>
                <w:sz w:val="20"/>
                <w:szCs w:val="20"/>
                <w:color w:val="auto"/>
              </w:rPr>
            </w:pPr>
            <w:r>
              <w:rPr>
                <w:rFonts w:ascii="Arial" w:cs="Arial" w:eastAsia="Arial" w:hAnsi="Arial"/>
                <w:sz w:val="11"/>
                <w:szCs w:val="11"/>
                <w:color w:val="BE1549"/>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Retail shareholders and</w:t>
            </w:r>
          </w:p>
        </w:tc>
        <w:tc>
          <w:tcPr>
            <w:tcW w:w="680" w:type="dxa"/>
            <w:vAlign w:val="bottom"/>
          </w:tcPr>
          <w:p>
            <w:pPr>
              <w:ind w:left="540"/>
              <w:spacing w:after="0"/>
              <w:rPr>
                <w:sz w:val="20"/>
                <w:szCs w:val="20"/>
                <w:color w:val="auto"/>
              </w:rPr>
            </w:pPr>
            <w:r>
              <w:rPr>
                <w:rFonts w:ascii="Arial" w:cs="Arial" w:eastAsia="Arial" w:hAnsi="Arial"/>
                <w:sz w:val="11"/>
                <w:szCs w:val="11"/>
                <w:color w:val="BE1549"/>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Annual shareholder meetings</w:t>
            </w:r>
          </w:p>
        </w:tc>
      </w:tr>
      <w:tr>
        <w:trPr>
          <w:trHeight w:val="243"/>
        </w:trPr>
        <w:tc>
          <w:tcPr>
            <w:tcW w:w="140" w:type="dxa"/>
            <w:vAlign w:val="bottom"/>
          </w:tcPr>
          <w:p>
            <w:pPr>
              <w:spacing w:after="0"/>
              <w:rPr>
                <w:sz w:val="21"/>
                <w:szCs w:val="21"/>
                <w:color w:val="auto"/>
              </w:rPr>
            </w:pPr>
          </w:p>
        </w:tc>
        <w:tc>
          <w:tcPr>
            <w:tcW w:w="2460" w:type="dxa"/>
            <w:vAlign w:val="bottom"/>
          </w:tcPr>
          <w:p>
            <w:pPr>
              <w:ind w:left="120"/>
              <w:spacing w:after="0"/>
              <w:rPr>
                <w:sz w:val="20"/>
                <w:szCs w:val="20"/>
                <w:color w:val="auto"/>
              </w:rPr>
            </w:pPr>
            <w:r>
              <w:rPr>
                <w:rFonts w:ascii="Arial" w:cs="Arial" w:eastAsia="Arial" w:hAnsi="Arial"/>
                <w:sz w:val="16"/>
                <w:szCs w:val="16"/>
                <w:color w:val="auto"/>
              </w:rPr>
              <w:t>shareholder advocates</w:t>
            </w:r>
          </w:p>
        </w:tc>
        <w:tc>
          <w:tcPr>
            <w:tcW w:w="680" w:type="dxa"/>
            <w:vAlign w:val="bottom"/>
          </w:tcPr>
          <w:p>
            <w:pPr>
              <w:ind w:left="540"/>
              <w:spacing w:after="0"/>
              <w:rPr>
                <w:sz w:val="20"/>
                <w:szCs w:val="20"/>
                <w:color w:val="auto"/>
              </w:rPr>
            </w:pPr>
            <w:r>
              <w:rPr>
                <w:rFonts w:ascii="Arial" w:cs="Arial" w:eastAsia="Arial" w:hAnsi="Arial"/>
                <w:sz w:val="11"/>
                <w:szCs w:val="11"/>
                <w:color w:val="BE1549"/>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Investor roadshows, on-site visits</w:t>
            </w:r>
          </w:p>
        </w:tc>
      </w:tr>
      <w:tr>
        <w:trPr>
          <w:trHeight w:val="215"/>
        </w:trPr>
        <w:tc>
          <w:tcPr>
            <w:tcW w:w="140" w:type="dxa"/>
            <w:vAlign w:val="bottom"/>
          </w:tcPr>
          <w:p>
            <w:pPr>
              <w:spacing w:after="0"/>
              <w:rPr>
                <w:sz w:val="20"/>
                <w:szCs w:val="20"/>
                <w:color w:val="auto"/>
              </w:rPr>
            </w:pPr>
            <w:r>
              <w:rPr>
                <w:rFonts w:ascii="Arial" w:cs="Arial" w:eastAsia="Arial" w:hAnsi="Arial"/>
                <w:sz w:val="11"/>
                <w:szCs w:val="11"/>
                <w:color w:val="BE1549"/>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Fixed income investors</w:t>
            </w:r>
          </w:p>
        </w:tc>
        <w:tc>
          <w:tcPr>
            <w:tcW w:w="68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and virtual meetings</w:t>
            </w:r>
          </w:p>
        </w:tc>
      </w:tr>
      <w:tr>
        <w:trPr>
          <w:trHeight w:val="256"/>
        </w:trPr>
        <w:tc>
          <w:tcPr>
            <w:tcW w:w="140" w:type="dxa"/>
            <w:vAlign w:val="bottom"/>
          </w:tcPr>
          <w:p>
            <w:pPr>
              <w:spacing w:after="0"/>
              <w:rPr>
                <w:sz w:val="20"/>
                <w:szCs w:val="20"/>
                <w:color w:val="auto"/>
              </w:rPr>
            </w:pPr>
            <w:r>
              <w:rPr>
                <w:rFonts w:ascii="Arial" w:cs="Arial" w:eastAsia="Arial" w:hAnsi="Arial"/>
                <w:sz w:val="11"/>
                <w:szCs w:val="11"/>
                <w:color w:val="BE1549"/>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Proxy advisory firms</w:t>
            </w:r>
          </w:p>
        </w:tc>
        <w:tc>
          <w:tcPr>
            <w:tcW w:w="680" w:type="dxa"/>
            <w:vAlign w:val="bottom"/>
          </w:tcPr>
          <w:p>
            <w:pPr>
              <w:ind w:left="540"/>
              <w:spacing w:after="0"/>
              <w:rPr>
                <w:sz w:val="20"/>
                <w:szCs w:val="20"/>
                <w:color w:val="auto"/>
              </w:rPr>
            </w:pPr>
            <w:r>
              <w:rPr>
                <w:rFonts w:ascii="Arial" w:cs="Arial" w:eastAsia="Arial" w:hAnsi="Arial"/>
                <w:sz w:val="11"/>
                <w:szCs w:val="11"/>
                <w:color w:val="BE1549"/>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One-on-one meetings</w:t>
            </w: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47" w:hanging="247"/>
        <w:spacing w:after="0"/>
        <w:tabs>
          <w:tab w:leader="none" w:pos="247" w:val="left"/>
        </w:tabs>
        <w:numPr>
          <w:ilvl w:val="0"/>
          <w:numId w:val="10"/>
        </w:numPr>
        <w:rPr>
          <w:rFonts w:ascii="Arial" w:cs="Arial" w:eastAsia="Arial" w:hAnsi="Arial"/>
          <w:sz w:val="11"/>
          <w:szCs w:val="11"/>
          <w:color w:val="BE1549"/>
        </w:rPr>
      </w:pPr>
      <w:r>
        <w:rPr>
          <w:rFonts w:ascii="Arial" w:cs="Arial" w:eastAsia="Arial" w:hAnsi="Arial"/>
          <w:sz w:val="16"/>
          <w:szCs w:val="16"/>
          <w:color w:val="auto"/>
        </w:rPr>
        <w:t>Annual report</w:t>
      </w:r>
    </w:p>
    <w:p>
      <w:pPr>
        <w:spacing w:after="0" w:line="59" w:lineRule="exact"/>
        <w:rPr>
          <w:rFonts w:ascii="Arial" w:cs="Arial" w:eastAsia="Arial" w:hAnsi="Arial"/>
          <w:sz w:val="11"/>
          <w:szCs w:val="11"/>
          <w:color w:val="BE1549"/>
        </w:rPr>
      </w:pPr>
    </w:p>
    <w:p>
      <w:pPr>
        <w:ind w:left="247" w:hanging="247"/>
        <w:spacing w:after="0"/>
        <w:tabs>
          <w:tab w:leader="none" w:pos="247" w:val="left"/>
        </w:tabs>
        <w:numPr>
          <w:ilvl w:val="0"/>
          <w:numId w:val="10"/>
        </w:numPr>
        <w:rPr>
          <w:rFonts w:ascii="Arial" w:cs="Arial" w:eastAsia="Arial" w:hAnsi="Arial"/>
          <w:sz w:val="11"/>
          <w:szCs w:val="11"/>
          <w:color w:val="BE1549"/>
        </w:rPr>
      </w:pPr>
      <w:r>
        <w:rPr>
          <w:rFonts w:ascii="Arial" w:cs="Arial" w:eastAsia="Arial" w:hAnsi="Arial"/>
          <w:sz w:val="16"/>
          <w:szCs w:val="16"/>
          <w:color w:val="auto"/>
        </w:rPr>
        <w:t>Proxy statement</w:t>
      </w:r>
    </w:p>
    <w:p>
      <w:pPr>
        <w:spacing w:after="0" w:line="59" w:lineRule="exact"/>
        <w:rPr>
          <w:rFonts w:ascii="Arial" w:cs="Arial" w:eastAsia="Arial" w:hAnsi="Arial"/>
          <w:sz w:val="11"/>
          <w:szCs w:val="11"/>
          <w:color w:val="BE1549"/>
        </w:rPr>
      </w:pPr>
    </w:p>
    <w:p>
      <w:pPr>
        <w:ind w:left="247" w:hanging="247"/>
        <w:spacing w:after="0"/>
        <w:tabs>
          <w:tab w:leader="none" w:pos="247" w:val="left"/>
        </w:tabs>
        <w:numPr>
          <w:ilvl w:val="0"/>
          <w:numId w:val="10"/>
        </w:numPr>
        <w:rPr>
          <w:rFonts w:ascii="Arial" w:cs="Arial" w:eastAsia="Arial" w:hAnsi="Arial"/>
          <w:sz w:val="11"/>
          <w:szCs w:val="11"/>
          <w:color w:val="BE1549"/>
        </w:rPr>
      </w:pPr>
      <w:r>
        <w:rPr>
          <w:rFonts w:ascii="Arial" w:cs="Arial" w:eastAsia="Arial" w:hAnsi="Arial"/>
          <w:sz w:val="16"/>
          <w:szCs w:val="16"/>
          <w:color w:val="auto"/>
        </w:rPr>
        <w:t>SEC filings</w:t>
      </w:r>
    </w:p>
    <w:p>
      <w:pPr>
        <w:spacing w:after="0" w:line="72" w:lineRule="exact"/>
        <w:rPr>
          <w:rFonts w:ascii="Arial" w:cs="Arial" w:eastAsia="Arial" w:hAnsi="Arial"/>
          <w:sz w:val="11"/>
          <w:szCs w:val="11"/>
          <w:color w:val="BE1549"/>
        </w:rPr>
      </w:pPr>
    </w:p>
    <w:p>
      <w:pPr>
        <w:ind w:left="247" w:hanging="247"/>
        <w:spacing w:after="0"/>
        <w:tabs>
          <w:tab w:leader="none" w:pos="247" w:val="left"/>
        </w:tabs>
        <w:numPr>
          <w:ilvl w:val="0"/>
          <w:numId w:val="10"/>
        </w:numPr>
        <w:rPr>
          <w:rFonts w:ascii="Arial" w:cs="Arial" w:eastAsia="Arial" w:hAnsi="Arial"/>
          <w:sz w:val="11"/>
          <w:szCs w:val="11"/>
          <w:color w:val="BE1549"/>
        </w:rPr>
      </w:pPr>
      <w:r>
        <w:rPr>
          <w:rFonts w:ascii="Arial" w:cs="Arial" w:eastAsia="Arial" w:hAnsi="Arial"/>
          <w:sz w:val="16"/>
          <w:szCs w:val="16"/>
          <w:color w:val="auto"/>
        </w:rPr>
        <w:t>Press releases</w:t>
      </w:r>
    </w:p>
    <w:p>
      <w:pPr>
        <w:spacing w:after="0" w:line="59" w:lineRule="exact"/>
        <w:rPr>
          <w:rFonts w:ascii="Arial" w:cs="Arial" w:eastAsia="Arial" w:hAnsi="Arial"/>
          <w:sz w:val="11"/>
          <w:szCs w:val="11"/>
          <w:color w:val="BE1549"/>
        </w:rPr>
      </w:pPr>
    </w:p>
    <w:p>
      <w:pPr>
        <w:ind w:left="247" w:hanging="247"/>
        <w:spacing w:after="0"/>
        <w:tabs>
          <w:tab w:leader="none" w:pos="247" w:val="left"/>
        </w:tabs>
        <w:numPr>
          <w:ilvl w:val="0"/>
          <w:numId w:val="10"/>
        </w:numPr>
        <w:rPr>
          <w:rFonts w:ascii="Arial" w:cs="Arial" w:eastAsia="Arial" w:hAnsi="Arial"/>
          <w:sz w:val="11"/>
          <w:szCs w:val="11"/>
          <w:color w:val="BE1549"/>
        </w:rPr>
      </w:pPr>
      <w:r>
        <w:rPr>
          <w:rFonts w:ascii="Arial" w:cs="Arial" w:eastAsia="Arial" w:hAnsi="Arial"/>
          <w:sz w:val="16"/>
          <w:szCs w:val="16"/>
          <w:color w:val="auto"/>
        </w:rPr>
        <w:t>Company website</w:t>
      </w:r>
    </w:p>
    <w:p>
      <w:pPr>
        <w:spacing w:after="0" w:line="72" w:lineRule="exact"/>
        <w:rPr>
          <w:rFonts w:ascii="Arial" w:cs="Arial" w:eastAsia="Arial" w:hAnsi="Arial"/>
          <w:sz w:val="11"/>
          <w:szCs w:val="11"/>
          <w:color w:val="BE1549"/>
        </w:rPr>
      </w:pPr>
    </w:p>
    <w:p>
      <w:pPr>
        <w:ind w:left="247" w:hanging="247"/>
        <w:spacing w:after="0"/>
        <w:tabs>
          <w:tab w:leader="none" w:pos="247" w:val="left"/>
        </w:tabs>
        <w:numPr>
          <w:ilvl w:val="0"/>
          <w:numId w:val="10"/>
        </w:numPr>
        <w:rPr>
          <w:rFonts w:ascii="Arial" w:cs="Arial" w:eastAsia="Arial" w:hAnsi="Arial"/>
          <w:sz w:val="11"/>
          <w:szCs w:val="11"/>
          <w:color w:val="BE1549"/>
        </w:rPr>
      </w:pPr>
      <w:r>
        <w:rPr>
          <w:rFonts w:ascii="Arial" w:cs="Arial" w:eastAsia="Arial" w:hAnsi="Arial"/>
          <w:sz w:val="16"/>
          <w:szCs w:val="16"/>
          <w:color w:val="auto"/>
        </w:rPr>
        <w:t>Investor presentations</w:t>
      </w:r>
    </w:p>
    <w:p>
      <w:pPr>
        <w:spacing w:after="0" w:line="59" w:lineRule="exact"/>
        <w:rPr>
          <w:rFonts w:ascii="Arial" w:cs="Arial" w:eastAsia="Arial" w:hAnsi="Arial"/>
          <w:sz w:val="11"/>
          <w:szCs w:val="11"/>
          <w:color w:val="BE1549"/>
        </w:rPr>
      </w:pPr>
    </w:p>
    <w:p>
      <w:pPr>
        <w:ind w:left="247" w:right="379" w:hanging="247"/>
        <w:spacing w:after="0" w:line="286" w:lineRule="auto"/>
        <w:tabs>
          <w:tab w:leader="none" w:pos="247" w:val="left"/>
        </w:tabs>
        <w:numPr>
          <w:ilvl w:val="0"/>
          <w:numId w:val="10"/>
        </w:numPr>
        <w:rPr>
          <w:rFonts w:ascii="Arial" w:cs="Arial" w:eastAsia="Arial" w:hAnsi="Arial"/>
          <w:sz w:val="11"/>
          <w:szCs w:val="11"/>
          <w:color w:val="BE1549"/>
        </w:rPr>
      </w:pPr>
      <w:r>
        <w:rPr>
          <w:rFonts w:ascii="Arial" w:cs="Arial" w:eastAsia="Arial" w:hAnsi="Arial"/>
          <w:sz w:val="16"/>
          <w:szCs w:val="16"/>
          <w:color w:val="auto"/>
        </w:rPr>
        <w:t>Corporate Responsibility and Sustainability Report</w:t>
      </w:r>
    </w:p>
    <w:p>
      <w:pPr>
        <w:spacing w:after="0" w:line="200" w:lineRule="exact"/>
        <w:rPr>
          <w:sz w:val="20"/>
          <w:szCs w:val="20"/>
          <w:color w:val="auto"/>
        </w:rPr>
      </w:pPr>
    </w:p>
    <w:p>
      <w:pPr>
        <w:sectPr>
          <w:pgSz w:w="11900" w:h="16838" w:orient="portrait"/>
          <w:cols w:equalWidth="0" w:num="2">
            <w:col w:w="5840" w:space="513"/>
            <w:col w:w="2706"/>
          </w:cols>
          <w:pgMar w:left="140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5860" w:type="dxa"/>
        <w:tblCellMar>
          <w:top w:w="0" w:type="dxa"/>
          <w:left w:w="0" w:type="dxa"/>
          <w:bottom w:w="0" w:type="dxa"/>
          <w:right w:w="0" w:type="dxa"/>
        </w:tblCellMar>
      </w:tblPr>
      <w:tr>
        <w:trPr>
          <w:trHeight w:val="196"/>
        </w:trPr>
        <w:tc>
          <w:tcPr>
            <w:tcW w:w="2960" w:type="dxa"/>
            <w:vAlign w:val="bottom"/>
          </w:tcPr>
          <w:p>
            <w:pPr>
              <w:spacing w:after="0"/>
              <w:rPr>
                <w:sz w:val="20"/>
                <w:szCs w:val="20"/>
                <w:color w:val="auto"/>
              </w:rPr>
            </w:pPr>
            <w:r>
              <w:rPr>
                <w:rFonts w:ascii="Arial" w:cs="Arial" w:eastAsia="Arial" w:hAnsi="Arial"/>
                <w:sz w:val="13"/>
                <w:szCs w:val="13"/>
                <w:color w:val="auto"/>
              </w:rPr>
              <w:t>2026 Notice of Annual Meeting &amp;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2C6EC4"/>
              </w:rPr>
              <w:t>5</w:t>
            </w:r>
          </w:p>
        </w:tc>
      </w:tr>
    </w:tbl>
    <w:p>
      <w:pPr>
        <w:sectPr>
          <w:pgSz w:w="11900" w:h="16838" w:orient="portrait"/>
          <w:cols w:equalWidth="0" w:num="1">
            <w:col w:w="9059"/>
          </w:cols>
          <w:pgMar w:left="1400" w:top="770" w:right="1440" w:bottom="1440" w:gutter="0" w:footer="0" w:header="0"/>
          <w:type w:val="continuous"/>
        </w:sectPr>
      </w:pPr>
    </w:p>
    <w:bookmarkStart w:id="11" w:name="page12"/>
    <w:bookmarkEnd w:id="11"/>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02. CORPAY AT A GLANCE</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59"/>
        <w:spacing w:after="0" w:line="286" w:lineRule="auto"/>
        <w:rPr>
          <w:sz w:val="20"/>
          <w:szCs w:val="20"/>
          <w:color w:val="auto"/>
        </w:rPr>
      </w:pPr>
      <w:r>
        <w:rPr>
          <w:rFonts w:ascii="Arial" w:cs="Arial" w:eastAsia="Arial" w:hAnsi="Arial"/>
          <w:sz w:val="16"/>
          <w:szCs w:val="16"/>
          <w:color w:val="auto"/>
        </w:rPr>
        <w:t>Based on our outreach efforts and our review of the recommendations of proxy advisory firms, the table below summarizes what we heard and how we responded in 2025 and 2026.</w:t>
      </w:r>
    </w:p>
    <w:p>
      <w:pPr>
        <w:spacing w:after="0" w:line="336" w:lineRule="exact"/>
        <w:rPr>
          <w:sz w:val="20"/>
          <w:szCs w:val="20"/>
          <w:color w:val="auto"/>
        </w:rPr>
      </w:pPr>
    </w:p>
    <w:p>
      <w:pPr>
        <w:ind w:left="140"/>
        <w:spacing w:after="0"/>
        <w:tabs>
          <w:tab w:leader="none" w:pos="2240" w:val="left"/>
        </w:tabs>
        <w:rPr>
          <w:sz w:val="20"/>
          <w:szCs w:val="20"/>
          <w:color w:val="auto"/>
        </w:rPr>
      </w:pPr>
      <w:r>
        <w:rPr>
          <w:rFonts w:ascii="Arial" w:cs="Arial" w:eastAsia="Arial" w:hAnsi="Arial"/>
          <w:sz w:val="14"/>
          <w:szCs w:val="14"/>
          <w:b w:val="1"/>
          <w:bCs w:val="1"/>
          <w:color w:val="FFFFFF"/>
        </w:rPr>
        <w:t>What we heard</w:t>
      </w:r>
      <w:r>
        <w:rPr>
          <w:sz w:val="20"/>
          <w:szCs w:val="20"/>
          <w:color w:val="auto"/>
        </w:rPr>
        <w:tab/>
      </w:r>
      <w:r>
        <w:rPr>
          <w:rFonts w:ascii="Arial" w:cs="Arial" w:eastAsia="Arial" w:hAnsi="Arial"/>
          <w:sz w:val="14"/>
          <w:szCs w:val="14"/>
          <w:b w:val="1"/>
          <w:bCs w:val="1"/>
          <w:color w:val="FFFFFF"/>
        </w:rPr>
        <w:t>What we have done in response</w:t>
      </w:r>
    </w:p>
    <w:p>
      <w:pPr>
        <w:sectPr>
          <w:pgSz w:w="11900" w:h="16838" w:orient="portrait"/>
          <w:cols w:equalWidth="0" w:num="1">
            <w:col w:w="9059"/>
          </w:cols>
          <w:pgMar w:left="1400" w:top="770"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40"/>
        <w:spacing w:after="0" w:line="274" w:lineRule="auto"/>
        <w:rPr>
          <w:sz w:val="20"/>
          <w:szCs w:val="20"/>
          <w:color w:val="auto"/>
        </w:rPr>
      </w:pPr>
      <w:r>
        <w:rPr>
          <w:rFonts w:ascii="Arial" w:cs="Arial" w:eastAsia="Arial" w:hAnsi="Arial"/>
          <w:sz w:val="14"/>
          <w:szCs w:val="14"/>
          <w:b w:val="1"/>
          <w:bCs w:val="1"/>
          <w:color w:val="auto"/>
        </w:rPr>
        <w:t>Interest in the direction of NEO compensation, including metrics used for NEO incentive-based compensation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399"/>
        <w:spacing w:after="0" w:line="276" w:lineRule="auto"/>
        <w:rPr>
          <w:sz w:val="20"/>
          <w:szCs w:val="20"/>
          <w:color w:val="auto"/>
        </w:rPr>
      </w:pPr>
      <w:r>
        <w:rPr>
          <w:rFonts w:ascii="Arial" w:cs="Arial" w:eastAsia="Arial" w:hAnsi="Arial"/>
          <w:sz w:val="14"/>
          <w:szCs w:val="14"/>
          <w:u w:val="single" w:color="auto"/>
          <w:color w:val="auto"/>
        </w:rPr>
        <w:t>Annual Bonus Equity Incentive Performance Metrics:</w:t>
      </w:r>
      <w:r>
        <w:rPr>
          <w:rFonts w:ascii="Arial" w:cs="Arial" w:eastAsia="Arial" w:hAnsi="Arial"/>
          <w:sz w:val="14"/>
          <w:szCs w:val="14"/>
          <w:color w:val="auto"/>
        </w:rPr>
        <w:t xml:space="preserve"> The entire portion of all participating NEOs’ (including the CEO) targeted Annual Bonus Equity Incentive opportunities for 2025 was contingent upon the achievement of pre-established financial and operating metrics. This incentive is fully denominated and settled in shares of stock and is in lieu of a traditional cash bonus opportunity.</w:t>
      </w:r>
    </w:p>
    <w:p>
      <w:pPr>
        <w:spacing w:after="0" w:line="15" w:lineRule="exact"/>
        <w:rPr>
          <w:sz w:val="20"/>
          <w:szCs w:val="20"/>
          <w:color w:val="auto"/>
        </w:rPr>
      </w:pPr>
    </w:p>
    <w:p>
      <w:pPr>
        <w:ind w:right="259"/>
        <w:spacing w:after="0" w:line="269" w:lineRule="auto"/>
        <w:rPr>
          <w:sz w:val="20"/>
          <w:szCs w:val="20"/>
          <w:color w:val="auto"/>
        </w:rPr>
      </w:pPr>
      <w:r>
        <w:rPr>
          <w:rFonts w:ascii="Arial" w:cs="Arial" w:eastAsia="Arial" w:hAnsi="Arial"/>
          <w:sz w:val="14"/>
          <w:szCs w:val="14"/>
          <w:u w:val="single" w:color="auto"/>
          <w:color w:val="auto"/>
        </w:rPr>
        <w:t>Performance Linkages:</w:t>
      </w:r>
      <w:r>
        <w:rPr>
          <w:rFonts w:ascii="Arial" w:cs="Arial" w:eastAsia="Arial" w:hAnsi="Arial"/>
          <w:sz w:val="14"/>
          <w:szCs w:val="14"/>
          <w:color w:val="auto"/>
        </w:rPr>
        <w:t xml:space="preserve"> The 2025 equity incentives to all of our NEOs were comprised at least 50% of performance-based incentives, except for Mr. Netto due to his tax equalization award discussed below. These performance-based incentives were 100% contingent on the achievement of pre-established earnings per share, revenue and/or operating metrics.</w:t>
      </w:r>
    </w:p>
    <w:p>
      <w:pPr>
        <w:spacing w:after="0" w:line="200" w:lineRule="exact"/>
        <w:rPr>
          <w:sz w:val="20"/>
          <w:szCs w:val="20"/>
          <w:color w:val="auto"/>
        </w:rPr>
      </w:pPr>
    </w:p>
    <w:p>
      <w:pPr>
        <w:sectPr>
          <w:pgSz w:w="11900" w:h="16838" w:orient="portrait"/>
          <w:cols w:equalWidth="0" w:num="2">
            <w:col w:w="1940" w:space="320"/>
            <w:col w:w="6799"/>
          </w:cols>
          <w:pgMar w:left="1400" w:top="770" w:right="1440" w:bottom="1440" w:gutter="0" w:footer="0" w:header="0"/>
          <w:type w:val="continuous"/>
        </w:sectPr>
      </w:pPr>
    </w:p>
    <w:p>
      <w:pPr>
        <w:spacing w:after="0" w:line="23" w:lineRule="exact"/>
        <w:rPr>
          <w:sz w:val="20"/>
          <w:szCs w:val="20"/>
          <w:color w:val="auto"/>
        </w:rPr>
      </w:pPr>
    </w:p>
    <w:p>
      <w:pPr>
        <w:ind w:left="140"/>
        <w:spacing w:after="0" w:line="287" w:lineRule="auto"/>
        <w:rPr>
          <w:sz w:val="20"/>
          <w:szCs w:val="20"/>
          <w:color w:val="auto"/>
        </w:rPr>
      </w:pPr>
      <w:r>
        <w:rPr>
          <w:rFonts w:ascii="Arial" w:cs="Arial" w:eastAsia="Arial" w:hAnsi="Arial"/>
          <w:sz w:val="14"/>
          <w:szCs w:val="14"/>
          <w:b w:val="1"/>
          <w:bCs w:val="1"/>
          <w:color w:val="auto"/>
        </w:rPr>
        <w:t>The majority of NEO compensation should be performance-based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59"/>
        <w:spacing w:after="0" w:line="285" w:lineRule="auto"/>
        <w:rPr>
          <w:sz w:val="20"/>
          <w:szCs w:val="20"/>
          <w:color w:val="auto"/>
        </w:rPr>
      </w:pPr>
      <w:r>
        <w:rPr>
          <w:rFonts w:ascii="Arial" w:cs="Arial" w:eastAsia="Arial" w:hAnsi="Arial"/>
          <w:sz w:val="14"/>
          <w:szCs w:val="14"/>
          <w:color w:val="auto"/>
        </w:rPr>
        <w:t>For 2026, we ensured more than 50% of all NEO equity incentives in the aggregate is performance-based.</w:t>
      </w:r>
    </w:p>
    <w:p>
      <w:pPr>
        <w:spacing w:after="0" w:line="292" w:lineRule="exact"/>
        <w:rPr>
          <w:sz w:val="20"/>
          <w:szCs w:val="20"/>
          <w:color w:val="auto"/>
        </w:rPr>
      </w:pPr>
    </w:p>
    <w:p>
      <w:pPr>
        <w:sectPr>
          <w:pgSz w:w="11900" w:h="16838" w:orient="portrait"/>
          <w:cols w:equalWidth="0" w:num="2">
            <w:col w:w="1840" w:space="420"/>
            <w:col w:w="6799"/>
          </w:cols>
          <w:pgMar w:left="1400" w:top="770" w:right="1440" w:bottom="1440" w:gutter="0" w:footer="0" w:header="0"/>
          <w:type w:val="continuous"/>
        </w:sectPr>
      </w:pPr>
    </w:p>
    <w:p>
      <w:pPr>
        <w:ind w:left="140"/>
        <w:spacing w:after="0" w:line="287" w:lineRule="auto"/>
        <w:rPr>
          <w:sz w:val="20"/>
          <w:szCs w:val="20"/>
          <w:color w:val="auto"/>
        </w:rPr>
      </w:pPr>
      <w:r>
        <w:rPr>
          <w:rFonts w:ascii="Arial" w:cs="Arial" w:eastAsia="Arial" w:hAnsi="Arial"/>
          <w:sz w:val="14"/>
          <w:szCs w:val="14"/>
          <w:b w:val="1"/>
          <w:bCs w:val="1"/>
          <w:color w:val="auto"/>
        </w:rPr>
        <w:t>Long-term compensation should have longer measurement periods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59"/>
        <w:spacing w:after="0" w:line="285" w:lineRule="auto"/>
        <w:rPr>
          <w:sz w:val="20"/>
          <w:szCs w:val="20"/>
          <w:color w:val="auto"/>
        </w:rPr>
      </w:pPr>
      <w:r>
        <w:rPr>
          <w:rFonts w:ascii="Arial" w:cs="Arial" w:eastAsia="Arial" w:hAnsi="Arial"/>
          <w:sz w:val="14"/>
          <w:szCs w:val="14"/>
          <w:color w:val="auto"/>
        </w:rPr>
        <w:t>Our long-term equity compensation has a vesting schedule that is more than one year. A portion of long-term equity compensation has a performance measurement period of three years.</w:t>
      </w:r>
    </w:p>
    <w:p>
      <w:pPr>
        <w:spacing w:after="0" w:line="278" w:lineRule="exact"/>
        <w:rPr>
          <w:sz w:val="20"/>
          <w:szCs w:val="20"/>
          <w:color w:val="auto"/>
        </w:rPr>
      </w:pPr>
    </w:p>
    <w:p>
      <w:pPr>
        <w:sectPr>
          <w:pgSz w:w="11900" w:h="16838" w:orient="portrait"/>
          <w:cols w:equalWidth="0" w:num="2">
            <w:col w:w="1880" w:space="380"/>
            <w:col w:w="6799"/>
          </w:cols>
          <w:pgMar w:left="1400" w:top="770" w:right="1440" w:bottom="1440" w:gutter="0" w:footer="0" w:header="0"/>
          <w:type w:val="continuous"/>
        </w:sectPr>
      </w:pPr>
    </w:p>
    <w:p>
      <w:pPr>
        <w:spacing w:after="0" w:line="270" w:lineRule="exact"/>
        <w:rPr>
          <w:sz w:val="20"/>
          <w:szCs w:val="20"/>
          <w:color w:val="auto"/>
        </w:rPr>
      </w:pPr>
    </w:p>
    <w:p>
      <w:pPr>
        <w:ind w:left="140"/>
        <w:spacing w:after="0" w:line="277" w:lineRule="auto"/>
        <w:rPr>
          <w:sz w:val="20"/>
          <w:szCs w:val="20"/>
          <w:color w:val="auto"/>
        </w:rPr>
      </w:pPr>
      <w:r>
        <w:rPr>
          <w:rFonts w:ascii="Arial" w:cs="Arial" w:eastAsia="Arial" w:hAnsi="Arial"/>
          <w:sz w:val="14"/>
          <w:szCs w:val="14"/>
          <w:b w:val="1"/>
          <w:bCs w:val="1"/>
          <w:color w:val="auto"/>
        </w:rPr>
        <w:t>Compensation structures should align with value creation</w:t>
      </w:r>
    </w:p>
    <w:p>
      <w:pPr>
        <w:spacing w:after="0" w:line="20" w:lineRule="exact"/>
        <w:rPr>
          <w:sz w:val="20"/>
          <w:szCs w:val="20"/>
          <w:color w:val="auto"/>
        </w:rPr>
      </w:pPr>
      <w:r>
        <w:rPr>
          <w:sz w:val="20"/>
          <w:szCs w:val="20"/>
          <w:color w:val="auto"/>
        </w:rPr>
        <w:br w:type="column"/>
      </w:r>
    </w:p>
    <w:p>
      <w:pPr>
        <w:jc w:val="both"/>
        <w:ind w:right="179"/>
        <w:spacing w:after="0" w:line="266" w:lineRule="auto"/>
        <w:rPr>
          <w:sz w:val="20"/>
          <w:szCs w:val="20"/>
          <w:color w:val="auto"/>
        </w:rPr>
      </w:pPr>
      <w:r>
        <w:rPr>
          <w:rFonts w:ascii="Arial" w:cs="Arial" w:eastAsia="Arial" w:hAnsi="Arial"/>
          <w:sz w:val="14"/>
          <w:szCs w:val="14"/>
          <w:color w:val="auto"/>
        </w:rPr>
        <w:t>In 2025, incentives were granted 100% in the form of equity-based awards that are settled in the form of shares. We did not offer a traditional cash bonus opportunity to our NEOs and instead provided a short-term incentive opportunity in the form of an equity-based award (referred to as the Annual Bonus Equity Incentive). A portion of our NEOs’ targeted equity incentive opportunities are tied to the achievement of pre-established financial metrics that directly contribute to long-term shareholder value creation. We are committed to aligning the compensation of our NEOs with shareholder value creation.</w:t>
      </w:r>
    </w:p>
    <w:p>
      <w:pPr>
        <w:spacing w:after="0" w:line="200" w:lineRule="exact"/>
        <w:rPr>
          <w:sz w:val="20"/>
          <w:szCs w:val="20"/>
          <w:color w:val="auto"/>
        </w:rPr>
      </w:pPr>
    </w:p>
    <w:p>
      <w:pPr>
        <w:sectPr>
          <w:pgSz w:w="11900" w:h="16838" w:orient="portrait"/>
          <w:cols w:equalWidth="0" w:num="2">
            <w:col w:w="1900" w:space="360"/>
            <w:col w:w="6799"/>
          </w:cols>
          <w:pgMar w:left="1400" w:top="770" w:right="1440" w:bottom="1440" w:gutter="0" w:footer="0" w:header="0"/>
          <w:type w:val="continuous"/>
        </w:sectPr>
      </w:pPr>
    </w:p>
    <w:p>
      <w:pPr>
        <w:spacing w:after="0" w:line="12" w:lineRule="exact"/>
        <w:rPr>
          <w:sz w:val="20"/>
          <w:szCs w:val="20"/>
          <w:color w:val="auto"/>
        </w:rPr>
      </w:pPr>
    </w:p>
    <w:p>
      <w:pPr>
        <w:ind w:left="140"/>
        <w:spacing w:after="0" w:line="287" w:lineRule="auto"/>
        <w:rPr>
          <w:sz w:val="20"/>
          <w:szCs w:val="20"/>
          <w:color w:val="auto"/>
        </w:rPr>
      </w:pPr>
      <w:r>
        <w:rPr>
          <w:rFonts w:ascii="Arial" w:cs="Arial" w:eastAsia="Arial" w:hAnsi="Arial"/>
          <w:sz w:val="14"/>
          <w:szCs w:val="14"/>
          <w:b w:val="1"/>
          <w:bCs w:val="1"/>
          <w:color w:val="auto"/>
        </w:rPr>
        <w:t>CEO compensation structure should help ensure long-term retention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539"/>
        <w:spacing w:after="0" w:line="285" w:lineRule="auto"/>
        <w:rPr>
          <w:sz w:val="20"/>
          <w:szCs w:val="20"/>
          <w:color w:val="auto"/>
        </w:rPr>
      </w:pPr>
      <w:r>
        <w:rPr>
          <w:rFonts w:ascii="Arial" w:cs="Arial" w:eastAsia="Arial" w:hAnsi="Arial"/>
          <w:sz w:val="14"/>
          <w:szCs w:val="14"/>
          <w:color w:val="auto"/>
        </w:rPr>
        <w:t>In 2024, we provided the CEO with long-term equity awards, a portion of which has a performance measurement period of three years.</w:t>
      </w:r>
    </w:p>
    <w:p>
      <w:pPr>
        <w:spacing w:after="0" w:line="278" w:lineRule="exact"/>
        <w:rPr>
          <w:sz w:val="20"/>
          <w:szCs w:val="20"/>
          <w:color w:val="auto"/>
        </w:rPr>
      </w:pPr>
    </w:p>
    <w:p>
      <w:pPr>
        <w:sectPr>
          <w:pgSz w:w="11900" w:h="16838" w:orient="portrait"/>
          <w:cols w:equalWidth="0" w:num="2">
            <w:col w:w="1980" w:space="280"/>
            <w:col w:w="6799"/>
          </w:cols>
          <w:pgMar w:left="1400" w:top="770" w:right="1440" w:bottom="1440" w:gutter="0" w:footer="0" w:header="0"/>
          <w:type w:val="continuous"/>
        </w:sectPr>
      </w:pPr>
    </w:p>
    <w:p>
      <w:pPr>
        <w:spacing w:after="0" w:line="365" w:lineRule="exact"/>
        <w:rPr>
          <w:sz w:val="20"/>
          <w:szCs w:val="20"/>
          <w:color w:val="auto"/>
        </w:rPr>
      </w:pPr>
    </w:p>
    <w:p>
      <w:pPr>
        <w:ind w:left="140"/>
        <w:spacing w:after="0" w:line="272" w:lineRule="auto"/>
        <w:rPr>
          <w:sz w:val="20"/>
          <w:szCs w:val="20"/>
          <w:color w:val="auto"/>
        </w:rPr>
      </w:pPr>
      <w:r>
        <w:rPr>
          <w:rFonts w:ascii="Arial" w:cs="Arial" w:eastAsia="Arial" w:hAnsi="Arial"/>
          <w:sz w:val="14"/>
          <w:szCs w:val="14"/>
          <w:b w:val="1"/>
          <w:bCs w:val="1"/>
          <w:color w:val="auto"/>
        </w:rPr>
        <w:t>Compensation for NEOs should have a total shareholder return component</w:t>
      </w:r>
    </w:p>
    <w:p>
      <w:pPr>
        <w:spacing w:after="0" w:line="20" w:lineRule="exact"/>
        <w:rPr>
          <w:sz w:val="20"/>
          <w:szCs w:val="20"/>
          <w:color w:val="auto"/>
        </w:rPr>
      </w:pPr>
      <w:r>
        <w:rPr>
          <w:sz w:val="20"/>
          <w:szCs w:val="20"/>
          <w:color w:val="auto"/>
        </w:rPr>
        <w:br w:type="column"/>
      </w:r>
    </w:p>
    <w:p>
      <w:pPr>
        <w:ind w:right="199"/>
        <w:spacing w:after="0" w:line="264" w:lineRule="auto"/>
        <w:rPr>
          <w:sz w:val="20"/>
          <w:szCs w:val="20"/>
          <w:color w:val="auto"/>
        </w:rPr>
      </w:pPr>
      <w:r>
        <w:rPr>
          <w:rFonts w:ascii="Arial" w:cs="Arial" w:eastAsia="Arial" w:hAnsi="Arial"/>
          <w:sz w:val="14"/>
          <w:szCs w:val="14"/>
          <w:color w:val="auto"/>
        </w:rPr>
        <w:t>We continue to believe the performance metrics we have chosen for our equity incentives are directly aligned with the creation of shareholder value, and are therefore the most appropriate metrics in the near-term. We have considered the use of relative total shareholder return ("TSR"), but have found that there are too few companies in our direct operating space that present the opportunity for reliable and statistically relevant comparisons of TSR over a three-year period. We intend to continue to review the possibility of adding relative TSR as a metric in coming years, and are receptive to doing so in the event that reliable comparisons are available. At target, and on average, approximately 90% of NEO compensation is settled in shares of stock, implicitly incorporating a TSR component.</w:t>
      </w:r>
    </w:p>
    <w:p>
      <w:pPr>
        <w:spacing w:after="0" w:line="200" w:lineRule="exact"/>
        <w:rPr>
          <w:sz w:val="20"/>
          <w:szCs w:val="20"/>
          <w:color w:val="auto"/>
        </w:rPr>
      </w:pPr>
    </w:p>
    <w:p>
      <w:pPr>
        <w:sectPr>
          <w:pgSz w:w="11900" w:h="16838" w:orient="portrait"/>
          <w:cols w:equalWidth="0" w:num="2">
            <w:col w:w="1820" w:space="440"/>
            <w:col w:w="6799"/>
          </w:cols>
          <w:pgMar w:left="1400" w:top="770" w:right="1440" w:bottom="1440" w:gutter="0" w:footer="0" w:header="0"/>
          <w:type w:val="continuous"/>
        </w:sectPr>
      </w:pPr>
    </w:p>
    <w:p>
      <w:pPr>
        <w:spacing w:after="0" w:line="30" w:lineRule="exact"/>
        <w:rPr>
          <w:sz w:val="20"/>
          <w:szCs w:val="20"/>
          <w:color w:val="auto"/>
        </w:rPr>
      </w:pPr>
    </w:p>
    <w:p>
      <w:pPr>
        <w:ind w:left="140"/>
        <w:spacing w:after="0" w:line="268" w:lineRule="auto"/>
        <w:rPr>
          <w:sz w:val="20"/>
          <w:szCs w:val="20"/>
          <w:color w:val="auto"/>
        </w:rPr>
      </w:pPr>
      <w:r>
        <w:rPr>
          <w:rFonts w:ascii="Arial" w:cs="Arial" w:eastAsia="Arial" w:hAnsi="Arial"/>
          <w:sz w:val="14"/>
          <w:szCs w:val="14"/>
          <w:b w:val="1"/>
          <w:bCs w:val="1"/>
          <w:color w:val="auto"/>
        </w:rPr>
        <w:t>Disclosure should provide context for why the Company selects particular performance metrics for incentive-based compensation</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339"/>
        <w:spacing w:after="0" w:line="273" w:lineRule="auto"/>
        <w:rPr>
          <w:sz w:val="20"/>
          <w:szCs w:val="20"/>
          <w:color w:val="auto"/>
        </w:rPr>
      </w:pPr>
      <w:r>
        <w:rPr>
          <w:rFonts w:ascii="Arial" w:cs="Arial" w:eastAsia="Arial" w:hAnsi="Arial"/>
          <w:sz w:val="14"/>
          <w:szCs w:val="14"/>
          <w:color w:val="auto"/>
        </w:rPr>
        <w:t>As noted throughout this Proxy Statement, a portion of our NEOs’ equity incentives are tied to the achievement of the financial and operating metrics that best align with shareholder value creation and we have enhanced disclosure of the metrics.</w:t>
      </w:r>
    </w:p>
    <w:p>
      <w:pPr>
        <w:spacing w:after="0" w:line="472" w:lineRule="exact"/>
        <w:rPr>
          <w:sz w:val="20"/>
          <w:szCs w:val="20"/>
          <w:color w:val="auto"/>
        </w:rPr>
      </w:pPr>
    </w:p>
    <w:p>
      <w:pPr>
        <w:sectPr>
          <w:pgSz w:w="11900" w:h="16838" w:orient="portrait"/>
          <w:cols w:equalWidth="0" w:num="2">
            <w:col w:w="1960" w:space="300"/>
            <w:col w:w="6799"/>
          </w:cols>
          <w:pgMar w:left="140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hanging="351"/>
        <w:spacing w:after="0"/>
        <w:tabs>
          <w:tab w:leader="none" w:pos="420" w:val="left"/>
        </w:tabs>
        <w:numPr>
          <w:ilvl w:val="0"/>
          <w:numId w:val="11"/>
        </w:numPr>
        <w:rPr>
          <w:rFonts w:ascii="Arial" w:cs="Arial" w:eastAsia="Arial" w:hAnsi="Arial"/>
          <w:sz w:val="13"/>
          <w:szCs w:val="13"/>
          <w:b w:val="1"/>
          <w:bCs w:val="1"/>
          <w:color w:val="2C6EC4"/>
        </w:rPr>
      </w:pPr>
      <w:r>
        <w:rPr>
          <w:rFonts w:ascii="Arial" w:cs="Arial" w:eastAsia="Arial" w:hAnsi="Arial"/>
          <w:sz w:val="12"/>
          <w:szCs w:val="12"/>
          <w:color w:val="auto"/>
        </w:rPr>
        <w:t>2026 Notice of Annual Meeting &amp; Proxy Statement</w:t>
      </w:r>
    </w:p>
    <w:p>
      <w:pPr>
        <w:sectPr>
          <w:pgSz w:w="11900" w:h="16838" w:orient="portrait"/>
          <w:cols w:equalWidth="0" w:num="1">
            <w:col w:w="9059"/>
          </w:cols>
          <w:pgMar w:left="1400" w:top="770" w:right="1440" w:bottom="1440" w:gutter="0" w:footer="0" w:header="0"/>
          <w:type w:val="continuous"/>
        </w:sectPr>
      </w:pPr>
    </w:p>
    <w:bookmarkStart w:id="12" w:name="page13"/>
    <w:bookmarkEnd w:id="12"/>
    <w:p>
      <w:pPr>
        <w:ind w:left="60"/>
        <w:spacing w:after="0"/>
        <w:tabs>
          <w:tab w:leader="none" w:pos="73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02. CORPAY AT A GLANCE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Our Commitment to Corporate Responsibility</w:t>
      </w:r>
    </w:p>
    <w:p>
      <w:pPr>
        <w:spacing w:after="0" w:line="159" w:lineRule="exact"/>
        <w:rPr>
          <w:sz w:val="20"/>
          <w:szCs w:val="20"/>
          <w:color w:val="auto"/>
        </w:rPr>
      </w:pPr>
    </w:p>
    <w:p>
      <w:pPr>
        <w:ind w:right="19"/>
        <w:spacing w:after="0" w:line="260" w:lineRule="auto"/>
        <w:rPr>
          <w:sz w:val="20"/>
          <w:szCs w:val="20"/>
          <w:color w:val="auto"/>
        </w:rPr>
      </w:pPr>
      <w:r>
        <w:rPr>
          <w:rFonts w:ascii="Arial" w:cs="Arial" w:eastAsia="Arial" w:hAnsi="Arial"/>
          <w:sz w:val="16"/>
          <w:szCs w:val="16"/>
          <w:color w:val="auto"/>
        </w:rPr>
        <w:t>Corporate responsibility promotes the long-term interests of our shareholders and strengthens Board and management accountability. Our corporate strategy includes a focus on how environmental and social issues may impact the long-term interests of our shareholders and other stakeholders. We believe that environmentally and socially responsible operating practices are important considerations while generating value for our shareholders, being good partners with our customers by providing efficient payment solutions, and being a good employer to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color w:val="auto"/>
        </w:rPr>
        <w:t>Core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1300" w:type="dxa"/>
            <w:vAlign w:val="bottom"/>
          </w:tcPr>
          <w:p>
            <w:pPr>
              <w:jc w:val="center"/>
              <w:ind w:right="219"/>
              <w:spacing w:after="0"/>
              <w:rPr>
                <w:sz w:val="20"/>
                <w:szCs w:val="20"/>
                <w:color w:val="auto"/>
              </w:rPr>
            </w:pPr>
            <w:r>
              <w:rPr>
                <w:rFonts w:ascii="Arial" w:cs="Arial" w:eastAsia="Arial" w:hAnsi="Arial"/>
                <w:sz w:val="16"/>
                <w:szCs w:val="16"/>
                <w:b w:val="1"/>
                <w:bCs w:val="1"/>
                <w:color w:val="C43776"/>
                <w:w w:val="99"/>
              </w:rPr>
              <w:t>INNOVATION</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C43776"/>
                <w:w w:val="99"/>
              </w:rPr>
              <w:t>COLLABORATION</w:t>
            </w:r>
          </w:p>
        </w:tc>
        <w:tc>
          <w:tcPr>
            <w:tcW w:w="1760" w:type="dxa"/>
            <w:vAlign w:val="bottom"/>
          </w:tcPr>
          <w:p>
            <w:pPr>
              <w:jc w:val="center"/>
              <w:ind w:right="59"/>
              <w:spacing w:after="0"/>
              <w:rPr>
                <w:sz w:val="20"/>
                <w:szCs w:val="20"/>
                <w:color w:val="auto"/>
              </w:rPr>
            </w:pPr>
            <w:r>
              <w:rPr>
                <w:rFonts w:ascii="Arial" w:cs="Arial" w:eastAsia="Arial" w:hAnsi="Arial"/>
                <w:sz w:val="16"/>
                <w:szCs w:val="16"/>
                <w:b w:val="1"/>
                <w:bCs w:val="1"/>
                <w:color w:val="C43776"/>
              </w:rPr>
              <w:t>EXECUTION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C43776"/>
              </w:rPr>
              <w:t>INTEGRITY</w:t>
            </w:r>
          </w:p>
        </w:tc>
        <w:tc>
          <w:tcPr>
            <w:tcW w:w="1420" w:type="dxa"/>
            <w:vAlign w:val="bottom"/>
          </w:tcPr>
          <w:p>
            <w:pPr>
              <w:jc w:val="center"/>
              <w:ind w:left="359"/>
              <w:spacing w:after="0"/>
              <w:rPr>
                <w:sz w:val="20"/>
                <w:szCs w:val="20"/>
                <w:color w:val="auto"/>
              </w:rPr>
            </w:pPr>
            <w:r>
              <w:rPr>
                <w:rFonts w:ascii="Arial" w:cs="Arial" w:eastAsia="Arial" w:hAnsi="Arial"/>
                <w:sz w:val="16"/>
                <w:szCs w:val="16"/>
                <w:b w:val="1"/>
                <w:bCs w:val="1"/>
                <w:color w:val="C43776"/>
              </w:rPr>
              <w:t>PEOPLE</w:t>
            </w:r>
          </w:p>
        </w:tc>
      </w:tr>
      <w:tr>
        <w:trPr>
          <w:trHeight w:val="209"/>
        </w:trPr>
        <w:tc>
          <w:tcPr>
            <w:tcW w:w="1300" w:type="dxa"/>
            <w:vAlign w:val="bottom"/>
          </w:tcPr>
          <w:p>
            <w:pPr>
              <w:jc w:val="center"/>
              <w:ind w:right="199"/>
              <w:spacing w:after="0"/>
              <w:rPr>
                <w:sz w:val="20"/>
                <w:szCs w:val="20"/>
                <w:color w:val="auto"/>
              </w:rPr>
            </w:pPr>
            <w:r>
              <w:rPr>
                <w:rFonts w:ascii="Arial" w:cs="Arial" w:eastAsia="Arial" w:hAnsi="Arial"/>
                <w:sz w:val="16"/>
                <w:szCs w:val="16"/>
                <w:color w:val="auto"/>
              </w:rPr>
              <w:t>Figure out</w:t>
            </w:r>
          </w:p>
        </w:tc>
        <w:tc>
          <w:tcPr>
            <w:tcW w:w="2000" w:type="dxa"/>
            <w:vAlign w:val="bottom"/>
          </w:tcPr>
          <w:p>
            <w:pPr>
              <w:jc w:val="center"/>
              <w:spacing w:after="0"/>
              <w:rPr>
                <w:sz w:val="20"/>
                <w:szCs w:val="20"/>
                <w:color w:val="auto"/>
              </w:rPr>
            </w:pPr>
            <w:r>
              <w:rPr>
                <w:rFonts w:ascii="Arial" w:cs="Arial" w:eastAsia="Arial" w:hAnsi="Arial"/>
                <w:sz w:val="16"/>
                <w:szCs w:val="16"/>
                <w:color w:val="auto"/>
              </w:rPr>
              <w:t>Accomplish</w:t>
            </w: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9"/>
              </w:rPr>
              <w:t>Get it done;</w:t>
            </w:r>
          </w:p>
        </w:tc>
        <w:tc>
          <w:tcPr>
            <w:tcW w:w="1740" w:type="dxa"/>
            <w:vAlign w:val="bottom"/>
          </w:tcPr>
          <w:p>
            <w:pPr>
              <w:jc w:val="center"/>
              <w:spacing w:after="0"/>
              <w:rPr>
                <w:sz w:val="20"/>
                <w:szCs w:val="20"/>
                <w:color w:val="auto"/>
              </w:rPr>
            </w:pPr>
            <w:r>
              <w:rPr>
                <w:rFonts w:ascii="Arial" w:cs="Arial" w:eastAsia="Arial" w:hAnsi="Arial"/>
                <w:sz w:val="16"/>
                <w:szCs w:val="16"/>
                <w:color w:val="auto"/>
              </w:rPr>
              <w:t>Do the</w:t>
            </w:r>
          </w:p>
        </w:tc>
        <w:tc>
          <w:tcPr>
            <w:tcW w:w="1420" w:type="dxa"/>
            <w:vAlign w:val="bottom"/>
          </w:tcPr>
          <w:p>
            <w:pPr>
              <w:jc w:val="center"/>
              <w:ind w:left="339"/>
              <w:spacing w:after="0"/>
              <w:rPr>
                <w:sz w:val="20"/>
                <w:szCs w:val="20"/>
                <w:color w:val="auto"/>
              </w:rPr>
            </w:pPr>
            <w:r>
              <w:rPr>
                <w:rFonts w:ascii="Arial" w:cs="Arial" w:eastAsia="Arial" w:hAnsi="Arial"/>
                <w:sz w:val="16"/>
                <w:szCs w:val="16"/>
                <w:color w:val="auto"/>
              </w:rPr>
              <w:t>We make</w:t>
            </w:r>
          </w:p>
        </w:tc>
      </w:tr>
      <w:tr>
        <w:trPr>
          <w:trHeight w:val="215"/>
        </w:trPr>
        <w:tc>
          <w:tcPr>
            <w:tcW w:w="1300" w:type="dxa"/>
            <w:vAlign w:val="bottom"/>
          </w:tcPr>
          <w:p>
            <w:pPr>
              <w:jc w:val="center"/>
              <w:ind w:right="219"/>
              <w:spacing w:after="0"/>
              <w:rPr>
                <w:sz w:val="20"/>
                <w:szCs w:val="20"/>
                <w:color w:val="auto"/>
              </w:rPr>
            </w:pPr>
            <w:r>
              <w:rPr>
                <w:rFonts w:ascii="Arial" w:cs="Arial" w:eastAsia="Arial" w:hAnsi="Arial"/>
                <w:sz w:val="16"/>
                <w:szCs w:val="16"/>
                <w:color w:val="auto"/>
              </w:rPr>
              <w:t>a better way</w:t>
            </w:r>
          </w:p>
        </w:tc>
        <w:tc>
          <w:tcPr>
            <w:tcW w:w="2000" w:type="dxa"/>
            <w:vAlign w:val="bottom"/>
          </w:tcPr>
          <w:p>
            <w:pPr>
              <w:jc w:val="center"/>
              <w:spacing w:after="0"/>
              <w:rPr>
                <w:sz w:val="20"/>
                <w:szCs w:val="20"/>
                <w:color w:val="auto"/>
              </w:rPr>
            </w:pPr>
            <w:r>
              <w:rPr>
                <w:rFonts w:ascii="Arial" w:cs="Arial" w:eastAsia="Arial" w:hAnsi="Arial"/>
                <w:sz w:val="16"/>
                <w:szCs w:val="16"/>
                <w:color w:val="auto"/>
              </w:rPr>
              <w:t>more together</w:t>
            </w: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9"/>
              </w:rPr>
              <w:t>outputs matter</w:t>
            </w:r>
          </w:p>
        </w:tc>
        <w:tc>
          <w:tcPr>
            <w:tcW w:w="1740" w:type="dxa"/>
            <w:vAlign w:val="bottom"/>
          </w:tcPr>
          <w:p>
            <w:pPr>
              <w:jc w:val="center"/>
              <w:spacing w:after="0"/>
              <w:rPr>
                <w:sz w:val="20"/>
                <w:szCs w:val="20"/>
                <w:color w:val="auto"/>
              </w:rPr>
            </w:pPr>
            <w:r>
              <w:rPr>
                <w:rFonts w:ascii="Arial" w:cs="Arial" w:eastAsia="Arial" w:hAnsi="Arial"/>
                <w:sz w:val="16"/>
                <w:szCs w:val="16"/>
                <w:color w:val="auto"/>
              </w:rPr>
              <w:t>right thing</w:t>
            </w:r>
          </w:p>
        </w:tc>
        <w:tc>
          <w:tcPr>
            <w:tcW w:w="1420" w:type="dxa"/>
            <w:vAlign w:val="bottom"/>
          </w:tcPr>
          <w:p>
            <w:pPr>
              <w:jc w:val="center"/>
              <w:ind w:left="359"/>
              <w:spacing w:after="0"/>
              <w:rPr>
                <w:sz w:val="20"/>
                <w:szCs w:val="20"/>
                <w:color w:val="auto"/>
              </w:rPr>
            </w:pPr>
            <w:r>
              <w:rPr>
                <w:rFonts w:ascii="Arial" w:cs="Arial" w:eastAsia="Arial" w:hAnsi="Arial"/>
                <w:sz w:val="16"/>
                <w:szCs w:val="16"/>
                <w:color w:val="auto"/>
              </w:rPr>
              <w:t>the difference</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auto"/>
        </w:rPr>
        <w:t>People</w:t>
      </w:r>
    </w:p>
    <w:p>
      <w:pPr>
        <w:spacing w:after="0" w:line="139" w:lineRule="exact"/>
        <w:rPr>
          <w:sz w:val="20"/>
          <w:szCs w:val="20"/>
          <w:color w:val="auto"/>
        </w:rPr>
      </w:pPr>
    </w:p>
    <w:p>
      <w:pPr>
        <w:ind w:right="59"/>
        <w:spacing w:after="0" w:line="261" w:lineRule="auto"/>
        <w:rPr>
          <w:sz w:val="20"/>
          <w:szCs w:val="20"/>
          <w:color w:val="auto"/>
        </w:rPr>
      </w:pPr>
      <w:r>
        <w:rPr>
          <w:rFonts w:ascii="Arial" w:cs="Arial" w:eastAsia="Arial" w:hAnsi="Arial"/>
          <w:sz w:val="16"/>
          <w:szCs w:val="16"/>
          <w:color w:val="auto"/>
        </w:rPr>
        <w:t>As of December 31, 2025, Corpay employed approximately 11,800 associates located in 34 countries around the world, with approximately 4,300 of those associates based in the U.S. Our values-driven people programs, practices and policies have been developed to ensure we are able to attract, retain and develop the quality of talent necessary to advance our key initiatives and achieve our strategic objectives. We are firmly committed to delivering a strong employee value proposition and unique employment experience to our associates which, in turn, should lead to better customer experiences and business outcomes.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color w:val="auto"/>
        </w:rPr>
        <w:t>Culture</w:t>
      </w:r>
    </w:p>
    <w:p>
      <w:pPr>
        <w:spacing w:after="0" w:line="126" w:lineRule="exact"/>
        <w:rPr>
          <w:sz w:val="20"/>
          <w:szCs w:val="20"/>
          <w:color w:val="auto"/>
        </w:rPr>
      </w:pPr>
    </w:p>
    <w:p>
      <w:pPr>
        <w:ind w:right="59"/>
        <w:spacing w:after="0" w:line="260" w:lineRule="auto"/>
        <w:rPr>
          <w:sz w:val="20"/>
          <w:szCs w:val="20"/>
          <w:color w:val="auto"/>
        </w:rPr>
      </w:pPr>
      <w:r>
        <w:rPr>
          <w:rFonts w:ascii="Arial" w:cs="Arial" w:eastAsia="Arial" w:hAnsi="Arial"/>
          <w:sz w:val="16"/>
          <w:szCs w:val="16"/>
          <w:color w:val="auto"/>
        </w:rPr>
        <w:t>We believe that commitment to our culture is a strong determinant of the Company’s performance and success. Our culture has evolved through time, as the Company has grown considerably both organically and through acquisitions. Despite Corpay’s expansive size and geographic scope, we retain a strong entrepreneurial spirit, and share a common vision, mission and set of values, which together serve as cornerstones to our “One Corpay” culture. Our Core Values are infused in all aspects of Corpay and guide our employee selection, behavior and interactions with both internal and external stakeholders.</w:t>
      </w:r>
    </w:p>
    <w:p>
      <w:pPr>
        <w:spacing w:after="0" w:line="127" w:lineRule="exact"/>
        <w:rPr>
          <w:sz w:val="20"/>
          <w:szCs w:val="20"/>
          <w:color w:val="auto"/>
        </w:rPr>
      </w:pPr>
    </w:p>
    <w:p>
      <w:pPr>
        <w:ind w:right="39"/>
        <w:spacing w:after="0" w:line="227" w:lineRule="auto"/>
        <w:rPr>
          <w:sz w:val="20"/>
          <w:szCs w:val="20"/>
          <w:color w:val="auto"/>
        </w:rPr>
      </w:pPr>
      <w:r>
        <w:rPr>
          <w:rFonts w:ascii="Arial" w:cs="Arial" w:eastAsia="Arial" w:hAnsi="Arial"/>
          <w:sz w:val="16"/>
          <w:szCs w:val="16"/>
          <w:color w:val="auto"/>
        </w:rPr>
        <w:t>Through our relentless efforts to improve our workplace, in 2024 we earned the Great Place To Work Certification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from Great Place To Work</w:t>
      </w:r>
      <w:r>
        <w:rPr>
          <w:rFonts w:ascii="Arial" w:cs="Arial" w:eastAsia="Arial" w:hAnsi="Arial"/>
          <w:sz w:val="21"/>
          <w:szCs w:val="21"/>
          <w:color w:val="auto"/>
          <w:vertAlign w:val="superscript"/>
        </w:rPr>
        <w:t>®</w:t>
      </w:r>
      <w:r>
        <w:rPr>
          <w:rFonts w:ascii="Arial" w:cs="Arial" w:eastAsia="Arial" w:hAnsi="Arial"/>
          <w:sz w:val="16"/>
          <w:szCs w:val="16"/>
          <w:color w:val="auto"/>
        </w:rPr>
        <w:t>. During 2025, we ranked #39 on the Top 100 Global Most Loved Workplaces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list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the Best Practice Institute, which highlights companies across the globe where employees genuinely love to work. We believe fostering a welcoming environment and an engaged employee base aligns with our values.</w:t>
      </w:r>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C43776"/>
        </w:rPr>
        <w:t>Talent Acquisition and Development</w:t>
      </w:r>
    </w:p>
    <w:p>
      <w:pPr>
        <w:spacing w:after="0" w:line="159" w:lineRule="exact"/>
        <w:rPr>
          <w:sz w:val="20"/>
          <w:szCs w:val="20"/>
          <w:color w:val="auto"/>
        </w:rPr>
      </w:pPr>
    </w:p>
    <w:p>
      <w:pPr>
        <w:ind w:right="39"/>
        <w:spacing w:after="0" w:line="265" w:lineRule="auto"/>
        <w:rPr>
          <w:sz w:val="20"/>
          <w:szCs w:val="20"/>
          <w:color w:val="auto"/>
        </w:rPr>
      </w:pPr>
      <w:r>
        <w:rPr>
          <w:rFonts w:ascii="Arial" w:cs="Arial" w:eastAsia="Arial" w:hAnsi="Arial"/>
          <w:sz w:val="16"/>
          <w:szCs w:val="16"/>
          <w:color w:val="auto"/>
        </w:rPr>
        <w:t>Corpay maintains a focus on recruiting a talented workforce across all businesses and geographies. Corpay recognizes both the importance of developing our workforce to power continued innovation, and the high demand of candidates in our industry. In addition to traditional recruiting channels (social media and third-party search firms), we also attract new talent through partnerships and employee referrals.</w:t>
      </w:r>
    </w:p>
    <w:p>
      <w:pPr>
        <w:spacing w:after="0" w:line="132" w:lineRule="exact"/>
        <w:rPr>
          <w:sz w:val="20"/>
          <w:szCs w:val="20"/>
          <w:color w:val="auto"/>
        </w:rPr>
      </w:pPr>
    </w:p>
    <w:p>
      <w:pPr>
        <w:ind w:right="79"/>
        <w:spacing w:after="0" w:line="261" w:lineRule="auto"/>
        <w:rPr>
          <w:sz w:val="20"/>
          <w:szCs w:val="20"/>
          <w:color w:val="auto"/>
        </w:rPr>
      </w:pPr>
      <w:r>
        <w:rPr>
          <w:rFonts w:ascii="Arial" w:cs="Arial" w:eastAsia="Arial" w:hAnsi="Arial"/>
          <w:sz w:val="16"/>
          <w:szCs w:val="16"/>
          <w:color w:val="auto"/>
        </w:rPr>
        <w:t>Corpay offers a variety of high-quality learning opportunities, designed to support employee development and organizational effectiveness. Learning opportunities are available in all geographies at all levels, and incorporate personal, business and leadership skills development with the goal of empowering our organization, creating avenues for closing skill gaps, and enhancing the capabilities of our workforce. Leadership, teamwork, communication, and many other soft skills are vital to our success. We offer a wide variety of career opportunities and paths to advancement through on-the-job coaching, training, and education.</w:t>
      </w:r>
    </w:p>
    <w:p>
      <w:pPr>
        <w:spacing w:after="0" w:line="122" w:lineRule="exact"/>
        <w:rPr>
          <w:sz w:val="20"/>
          <w:szCs w:val="20"/>
          <w:color w:val="auto"/>
        </w:rPr>
      </w:pPr>
    </w:p>
    <w:p>
      <w:pPr>
        <w:ind w:right="319"/>
        <w:spacing w:after="0" w:line="286" w:lineRule="auto"/>
        <w:rPr>
          <w:sz w:val="20"/>
          <w:szCs w:val="20"/>
          <w:color w:val="auto"/>
        </w:rPr>
      </w:pPr>
      <w:r>
        <w:rPr>
          <w:rFonts w:ascii="Arial" w:cs="Arial" w:eastAsia="Arial" w:hAnsi="Arial"/>
          <w:sz w:val="16"/>
          <w:szCs w:val="16"/>
          <w:color w:val="auto"/>
        </w:rPr>
        <w:t xml:space="preserve">Our learning and development program, </w:t>
      </w:r>
      <w:r>
        <w:rPr>
          <w:rFonts w:ascii="Arial" w:cs="Arial" w:eastAsia="Arial" w:hAnsi="Arial"/>
          <w:sz w:val="16"/>
          <w:szCs w:val="16"/>
          <w:color w:val="C43776"/>
        </w:rPr>
        <w:t>eleVate</w:t>
      </w:r>
      <w:r>
        <w:rPr>
          <w:rFonts w:ascii="Arial" w:cs="Arial" w:eastAsia="Arial" w:hAnsi="Arial"/>
          <w:sz w:val="16"/>
          <w:szCs w:val="16"/>
          <w:color w:val="auto"/>
        </w:rPr>
        <w:t>, has four pillars – Onboarding, Learner Education Advancement Program (“LEAP”), Mentorship and Coaching.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860" w:type="dxa"/>
        <w:tblCellMar>
          <w:top w:w="0" w:type="dxa"/>
          <w:left w:w="0" w:type="dxa"/>
          <w:bottom w:w="0" w:type="dxa"/>
          <w:right w:w="0" w:type="dxa"/>
        </w:tblCellMar>
      </w:tblPr>
      <w:tr>
        <w:trPr>
          <w:trHeight w:val="196"/>
        </w:trPr>
        <w:tc>
          <w:tcPr>
            <w:tcW w:w="2960" w:type="dxa"/>
            <w:vAlign w:val="bottom"/>
          </w:tcPr>
          <w:p>
            <w:pPr>
              <w:spacing w:after="0"/>
              <w:rPr>
                <w:sz w:val="20"/>
                <w:szCs w:val="20"/>
                <w:color w:val="auto"/>
              </w:rPr>
            </w:pPr>
            <w:r>
              <w:rPr>
                <w:rFonts w:ascii="Arial" w:cs="Arial" w:eastAsia="Arial" w:hAnsi="Arial"/>
                <w:sz w:val="13"/>
                <w:szCs w:val="13"/>
                <w:color w:val="auto"/>
              </w:rPr>
              <w:t>2026 Notice of Annual Meeting &amp;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2C6EC4"/>
              </w:rPr>
              <w:t>7</w:t>
            </w:r>
          </w:p>
        </w:tc>
      </w:tr>
    </w:tbl>
    <w:p>
      <w:pPr>
        <w:sectPr>
          <w:pgSz w:w="11900" w:h="16838" w:orient="portrait"/>
          <w:cols w:equalWidth="0" w:num="1">
            <w:col w:w="9059"/>
          </w:cols>
          <w:pgMar w:left="1400" w:top="770" w:right="1440" w:bottom="1440" w:gutter="0" w:footer="0" w:header="0"/>
        </w:sectPr>
      </w:pPr>
    </w:p>
    <w:bookmarkStart w:id="13" w:name="page14"/>
    <w:bookmarkEnd w:id="13"/>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02. CORPAY AT A GLANCE</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There are 5 phases for Onboarding, the first pillar of </w:t>
      </w:r>
      <w:r>
        <w:rPr>
          <w:rFonts w:ascii="Arial" w:cs="Arial" w:eastAsia="Arial" w:hAnsi="Arial"/>
          <w:sz w:val="16"/>
          <w:szCs w:val="16"/>
          <w:color w:val="C43776"/>
        </w:rPr>
        <w:t>eleVate</w:t>
      </w:r>
      <w:r>
        <w:rPr>
          <w:rFonts w:ascii="Arial" w:cs="Arial" w:eastAsia="Arial" w:hAnsi="Arial"/>
          <w:sz w:val="16"/>
          <w:szCs w:val="16"/>
          <w:color w:val="auto"/>
        </w:rPr>
        <w:t>, which include pre-boarding, Corpay Orientation, Team Orientation, Business Integration and Development. As part of the Corpay orientation, new employees are immersed in the Company’s mission, vision, culture and values. The Corpay orientation also introduces our Human Resources programs, benefits, and policies and procedures, such as information security awareness, anti-harassment training and code of ethics compliance. New hires also learn about their workstyle and the workstyle of their colleagues by participating in our Introduction to DiSC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program.</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LEAP, the second pillar of </w:t>
      </w:r>
      <w:r>
        <w:rPr>
          <w:rFonts w:ascii="Arial" w:cs="Arial" w:eastAsia="Arial" w:hAnsi="Arial"/>
          <w:sz w:val="16"/>
          <w:szCs w:val="16"/>
          <w:color w:val="C43776"/>
        </w:rPr>
        <w:t>eleVate</w:t>
      </w:r>
      <w:r>
        <w:rPr>
          <w:rFonts w:ascii="Arial" w:cs="Arial" w:eastAsia="Arial" w:hAnsi="Arial"/>
          <w:sz w:val="16"/>
          <w:szCs w:val="16"/>
          <w:color w:val="auto"/>
        </w:rPr>
        <w:t>, offers both mandatory and optional learning opportunities. Our entry-level employees are required to participate in our foundational learning sessions, which build upon onboarding experiences. More senior employees are required to complete all foundational training along with our Global Leader Program (“GLP”) - Manager Edition, which is designed to teach both first-time and experienced managers situational leadership, coaching skills, and the art of providing feedback and feedforward.</w:t>
      </w:r>
    </w:p>
    <w:p>
      <w:pPr>
        <w:spacing w:after="0" w:line="11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At the heart of our most senior leader learning experience is the GLP - Business Leader Edition. This leadership development program utilizes an interactive curriculum which is based on our core values and competencies. The goal is to guide our leaders towards greater self-awareness, create the opportunity to build a strong leadership foundation, provide the skills to act as a coach and mentor, and provide the opportunity to build lasting relationships with Corpay professionals from around the world. Senior leaders also have the opportunity to work with a personal coach and/or rotational assignments to further assist with their development.</w:t>
      </w:r>
    </w:p>
    <w:p>
      <w:pPr>
        <w:spacing w:after="0" w:line="136"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 xml:space="preserve">Mentorship is the third pillar of </w:t>
      </w:r>
      <w:r>
        <w:rPr>
          <w:rFonts w:ascii="Arial" w:cs="Arial" w:eastAsia="Arial" w:hAnsi="Arial"/>
          <w:sz w:val="16"/>
          <w:szCs w:val="16"/>
          <w:color w:val="C43776"/>
        </w:rPr>
        <w:t>eleVate</w:t>
      </w:r>
      <w:r>
        <w:rPr>
          <w:rFonts w:ascii="Arial" w:cs="Arial" w:eastAsia="Arial" w:hAnsi="Arial"/>
          <w:sz w:val="16"/>
          <w:szCs w:val="16"/>
          <w:color w:val="auto"/>
        </w:rPr>
        <w:t>. We believe mentorship offers the opportunity for mentees to develop new skills, receive personalized feedback and gain a different perspective which may facilitate both professional and personal growth. Mentorship also helps build confidence and helps expand an employee’s network.</w:t>
      </w:r>
    </w:p>
    <w:p>
      <w:pPr>
        <w:spacing w:after="0" w:line="11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 xml:space="preserve">Finally, Coaching is the last pillar of </w:t>
      </w:r>
      <w:r>
        <w:rPr>
          <w:rFonts w:ascii="Arial" w:cs="Arial" w:eastAsia="Arial" w:hAnsi="Arial"/>
          <w:sz w:val="16"/>
          <w:szCs w:val="16"/>
          <w:color w:val="C43776"/>
        </w:rPr>
        <w:t>eleVate</w:t>
      </w:r>
      <w:r>
        <w:rPr>
          <w:rFonts w:ascii="Arial" w:cs="Arial" w:eastAsia="Arial" w:hAnsi="Arial"/>
          <w:sz w:val="16"/>
          <w:szCs w:val="16"/>
          <w:color w:val="auto"/>
        </w:rPr>
        <w:t>. In addition to the coaching offered as part of GLP - Business Leader Edition, all employees have the opportunity to receive one-on-one developmental coaching.</w:t>
      </w:r>
    </w:p>
    <w:p>
      <w:pPr>
        <w:spacing w:after="0" w:line="87" w:lineRule="exact"/>
        <w:rPr>
          <w:sz w:val="20"/>
          <w:szCs w:val="20"/>
          <w:color w:val="auto"/>
        </w:rPr>
      </w:pPr>
    </w:p>
    <w:p>
      <w:pPr>
        <w:spacing w:after="0"/>
        <w:rPr>
          <w:sz w:val="20"/>
          <w:szCs w:val="20"/>
          <w:color w:val="auto"/>
        </w:rPr>
      </w:pPr>
      <w:r>
        <w:rPr>
          <w:rFonts w:ascii="Arial" w:cs="Arial" w:eastAsia="Arial" w:hAnsi="Arial"/>
          <w:sz w:val="32"/>
          <w:szCs w:val="32"/>
          <w:color w:val="C43776"/>
        </w:rPr>
        <w:t>Health and Wellness</w:t>
      </w:r>
    </w:p>
    <w:p>
      <w:pPr>
        <w:spacing w:after="0" w:line="15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offer a competitive and comprehensive benefits package, wellness programs, time-off policies, and an engaging environment. In the U.S., Corpay pays the majority of the cost for our core set of benefits which includes comprehensive medical, prescription drug, dental, and vision coverage. Our benefit plans include options for employees to customize their coverage with voluntary plans that include critical illness, disability, life insurance, hospitalization protection, and legal assistance, among others. We also offer access to tax-advantaged accounts that can help employees pay for future health care expenses, including Health Savings Accounts and Flexible Spending Accounts. Additionally, we offer life insurance, accidental death and dismemberment insurance, and short and long-term disability at no cost to the employee. All benefits are offered to employees, their partners (including spouses and domestic partners), and their children. In other geographies, we offer competitive benefits packages that are tailored to local market conditions and norms.</w:t>
      </w:r>
    </w:p>
    <w:p>
      <w:pPr>
        <w:spacing w:after="0" w:line="1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wellness programs are designed to meet the evolving needs of a global workforce. We want our employees and their families to thrive and continue to place our focus on physical and mental well-being. We offer free virtual fitness classes and provide access to employee assistance programs in all regions. In the U.K. and Europe, we’ve trained “Mental Health First Aiders” that provide all employees access to support on issues such as anxiety, depression, mental fatigue, burn out, or stress.</w:t>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color w:val="C43776"/>
        </w:rPr>
        <w:t>Voice of the Employee</w:t>
      </w:r>
    </w:p>
    <w:p>
      <w:pPr>
        <w:spacing w:after="0" w:line="15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Each year, Corpay conducts an employee survey to measure engagement. The purpose of the survey is to give employees a voice and use employee feedback to improve and build our organizational capability. We share the detailed engagement scores across the organization, and analyze the results to understand differences by geography, demographics, job level, and leader, and to identify opportunities for further improvement. Based on the feedback and perception of employees, action plans are created to drive continuous improvement of results. The participation rate for our 2025 annual survey was approximately 51%. Our employee engagement score in 2025 remained consistent with our prior year results. We believe our employee proposition remains strong and we continue to attract and retain top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8</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sectPr>
      </w:pPr>
    </w:p>
    <w:bookmarkStart w:id="14" w:name="page15"/>
    <w:bookmarkEnd w:id="1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03. Corporate Governance and Board Matters</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C43776"/>
        </w:rPr>
        <w:t>Our Board of Directors</w:t>
      </w:r>
    </w:p>
    <w:p>
      <w:pPr>
        <w:spacing w:after="0" w:line="15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Our Board currently consists of twelve highly accomplished and engaged members. Except for our CEO, all of our directors are independent under the NYSE rules. The average tenure of our independent director nominees since the Company’s initial public offering is nine years, and the average age of our independent director nominees is 66. We continually focus on Board composition to ensure an appropriate mix of tenure and expertise that provides fresh perspectives and significant industry, functional, and subject matter experience.</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complexity of our global business requires oversight by experienced, informed individuals that understand the industry and challenges, and our Company on a deep level. Our directors’ diverse backgrounds contribute to an effective and well-balanced Board that is able to provide valuable insight to, and effective oversight to, our senior management team. Our Board of Directors is focused on maintaining a mix of skills and experience that include the following:</w:t>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Skills and Experience</w:t>
      </w:r>
    </w:p>
    <w:p>
      <w:pPr>
        <w:spacing w:after="0" w:line="231" w:lineRule="exact"/>
        <w:rPr>
          <w:sz w:val="20"/>
          <w:szCs w:val="20"/>
          <w:color w:val="auto"/>
        </w:rPr>
      </w:pPr>
    </w:p>
    <w:p>
      <w:pPr>
        <w:ind w:left="140"/>
        <w:spacing w:after="0"/>
        <w:tabs>
          <w:tab w:leader="none" w:pos="4620" w:val="left"/>
        </w:tabs>
        <w:rPr>
          <w:sz w:val="20"/>
          <w:szCs w:val="20"/>
          <w:color w:val="auto"/>
        </w:rPr>
      </w:pPr>
      <w:r>
        <w:rPr>
          <w:rFonts w:ascii="Arial" w:cs="Arial" w:eastAsia="Arial" w:hAnsi="Arial"/>
          <w:sz w:val="14"/>
          <w:szCs w:val="14"/>
          <w:b w:val="1"/>
          <w:bCs w:val="1"/>
          <w:color w:val="auto"/>
        </w:rPr>
        <w:t>Payments, financial services and fintech</w:t>
      </w:r>
      <w:r>
        <w:rPr>
          <w:sz w:val="20"/>
          <w:szCs w:val="20"/>
          <w:color w:val="auto"/>
        </w:rPr>
        <w:tab/>
      </w:r>
      <w:r>
        <w:rPr>
          <w:rFonts w:ascii="Arial" w:cs="Arial" w:eastAsia="Arial" w:hAnsi="Arial"/>
          <w:sz w:val="14"/>
          <w:szCs w:val="14"/>
          <w:b w:val="1"/>
          <w:bCs w:val="1"/>
          <w:color w:val="auto"/>
        </w:rPr>
        <w:t>Cyber &amp; information security</w:t>
      </w:r>
    </w:p>
    <w:p>
      <w:pPr>
        <w:sectPr>
          <w:pgSz w:w="11900" w:h="16838" w:orient="portrait"/>
          <w:cols w:equalWidth="0" w:num="1">
            <w:col w:w="9080"/>
          </w:cols>
          <w:pgMar w:left="1400" w:top="1440" w:right="1419" w:bottom="1440" w:gutter="0" w:footer="0" w:header="0"/>
        </w:sectPr>
      </w:pPr>
    </w:p>
    <w:p>
      <w:pPr>
        <w:spacing w:after="0" w:line="55" w:lineRule="exact"/>
        <w:rPr>
          <w:sz w:val="20"/>
          <w:szCs w:val="20"/>
          <w:color w:val="auto"/>
        </w:rPr>
      </w:pPr>
    </w:p>
    <w:p>
      <w:pPr>
        <w:ind w:left="140"/>
        <w:spacing w:after="0" w:line="305" w:lineRule="auto"/>
        <w:rPr>
          <w:sz w:val="20"/>
          <w:szCs w:val="20"/>
          <w:color w:val="auto"/>
        </w:rPr>
      </w:pPr>
      <w:r>
        <w:rPr>
          <w:rFonts w:ascii="Arial" w:cs="Arial" w:eastAsia="Arial" w:hAnsi="Arial"/>
          <w:sz w:val="14"/>
          <w:szCs w:val="14"/>
          <w:color w:val="auto"/>
        </w:rPr>
        <w:t>Experience in the financial services industry, including payments, banking and technology.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500"/>
        <w:spacing w:after="0" w:line="276" w:lineRule="auto"/>
        <w:rPr>
          <w:sz w:val="20"/>
          <w:szCs w:val="20"/>
          <w:color w:val="auto"/>
        </w:rPr>
      </w:pPr>
      <w:r>
        <w:rPr>
          <w:rFonts w:ascii="Arial" w:cs="Arial" w:eastAsia="Arial" w:hAnsi="Arial"/>
          <w:sz w:val="14"/>
          <w:szCs w:val="14"/>
          <w:color w:val="auto"/>
        </w:rPr>
        <w:t>Experience in the IT, enterprise risk management and legal contexts. Understanding and familiarity with application of management frameworks to the operating requirements of the business.</w:t>
      </w:r>
    </w:p>
    <w:p>
      <w:pPr>
        <w:spacing w:after="0" w:line="200" w:lineRule="exact"/>
        <w:rPr>
          <w:sz w:val="20"/>
          <w:szCs w:val="20"/>
          <w:color w:val="auto"/>
        </w:rPr>
      </w:pPr>
    </w:p>
    <w:p>
      <w:pPr>
        <w:sectPr>
          <w:pgSz w:w="11900" w:h="16838" w:orient="portrait"/>
          <w:cols w:equalWidth="0" w:num="2">
            <w:col w:w="4280" w:space="360"/>
            <w:col w:w="4440"/>
          </w:cols>
          <w:pgMar w:left="1400" w:top="1440" w:right="1419" w:bottom="1440" w:gutter="0" w:footer="0" w:header="0"/>
          <w:type w:val="continuous"/>
        </w:sectPr>
      </w:pP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Finance &amp; accounting</w:t>
      </w:r>
    </w:p>
    <w:p>
      <w:pPr>
        <w:spacing w:after="0" w:line="82" w:lineRule="exact"/>
        <w:rPr>
          <w:sz w:val="20"/>
          <w:szCs w:val="20"/>
          <w:color w:val="auto"/>
        </w:rPr>
      </w:pPr>
    </w:p>
    <w:p>
      <w:pPr>
        <w:ind w:left="140"/>
        <w:spacing w:after="0" w:line="283" w:lineRule="auto"/>
        <w:rPr>
          <w:sz w:val="20"/>
          <w:szCs w:val="20"/>
          <w:color w:val="auto"/>
        </w:rPr>
      </w:pPr>
      <w:r>
        <w:rPr>
          <w:rFonts w:ascii="Arial" w:cs="Arial" w:eastAsia="Arial" w:hAnsi="Arial"/>
          <w:sz w:val="14"/>
          <w:szCs w:val="14"/>
          <w:color w:val="auto"/>
        </w:rPr>
        <w:t>Experience with the financial complexities of our business, including experience as senior financial leadership at a large global public company or financial institution.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Global business</w:t>
      </w:r>
    </w:p>
    <w:p>
      <w:pPr>
        <w:spacing w:after="0" w:line="82" w:lineRule="exact"/>
        <w:rPr>
          <w:sz w:val="20"/>
          <w:szCs w:val="20"/>
          <w:color w:val="auto"/>
        </w:rPr>
      </w:pPr>
    </w:p>
    <w:p>
      <w:pPr>
        <w:ind w:right="280"/>
        <w:spacing w:after="0" w:line="276" w:lineRule="auto"/>
        <w:rPr>
          <w:sz w:val="20"/>
          <w:szCs w:val="20"/>
          <w:color w:val="auto"/>
        </w:rPr>
      </w:pPr>
      <w:r>
        <w:rPr>
          <w:rFonts w:ascii="Arial" w:cs="Arial" w:eastAsia="Arial" w:hAnsi="Arial"/>
          <w:sz w:val="14"/>
          <w:szCs w:val="14"/>
          <w:color w:val="auto"/>
        </w:rPr>
        <w:t>Experience in managing or supervising a business with global operations, particularly in countries outside of the U.S. where Corpay does business. Familiarity with compliance issues facings companies with global operations.</w:t>
      </w:r>
    </w:p>
    <w:p>
      <w:pPr>
        <w:spacing w:after="0" w:line="200" w:lineRule="exact"/>
        <w:rPr>
          <w:sz w:val="20"/>
          <w:szCs w:val="20"/>
          <w:color w:val="auto"/>
        </w:rPr>
      </w:pPr>
    </w:p>
    <w:p>
      <w:pPr>
        <w:sectPr>
          <w:pgSz w:w="11900" w:h="16838" w:orient="portrait"/>
          <w:cols w:equalWidth="0" w:num="2">
            <w:col w:w="4420" w:space="220"/>
            <w:col w:w="4440"/>
          </w:cols>
          <w:pgMar w:left="1400" w:top="1440" w:right="1419" w:bottom="1440" w:gutter="0" w:footer="0" w:header="0"/>
          <w:type w:val="continuous"/>
        </w:sectPr>
      </w:pP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Accomplished operating executive</w:t>
      </w:r>
    </w:p>
    <w:p>
      <w:pPr>
        <w:spacing w:after="0" w:line="82" w:lineRule="exact"/>
        <w:rPr>
          <w:sz w:val="20"/>
          <w:szCs w:val="20"/>
          <w:color w:val="auto"/>
        </w:rPr>
      </w:pPr>
    </w:p>
    <w:p>
      <w:pPr>
        <w:ind w:left="140"/>
        <w:spacing w:after="0" w:line="276" w:lineRule="auto"/>
        <w:rPr>
          <w:sz w:val="20"/>
          <w:szCs w:val="20"/>
          <w:color w:val="auto"/>
        </w:rPr>
      </w:pPr>
      <w:r>
        <w:rPr>
          <w:rFonts w:ascii="Arial" w:cs="Arial" w:eastAsia="Arial" w:hAnsi="Arial"/>
          <w:sz w:val="14"/>
          <w:szCs w:val="14"/>
          <w:color w:val="auto"/>
        </w:rPr>
        <w:t>Experience including managing/supervising operations and business process improvement activities. Familiarity with development, implementation and reporting of service excellence, quality standards, operational performance metrics and targets.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Business development &amp; strategy</w:t>
      </w:r>
    </w:p>
    <w:p>
      <w:pPr>
        <w:spacing w:after="0" w:line="82"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Experience including managing/supervising the strategic planning process for a global business and the associated development and implementation of specific growth opportunities.</w:t>
      </w:r>
    </w:p>
    <w:p>
      <w:pPr>
        <w:spacing w:after="0" w:line="371" w:lineRule="exact"/>
        <w:rPr>
          <w:sz w:val="20"/>
          <w:szCs w:val="20"/>
          <w:color w:val="auto"/>
        </w:rPr>
      </w:pPr>
    </w:p>
    <w:p>
      <w:pPr>
        <w:sectPr>
          <w:pgSz w:w="11900" w:h="16838" w:orient="portrait"/>
          <w:cols w:equalWidth="0" w:num="2">
            <w:col w:w="4340" w:space="300"/>
            <w:col w:w="4440"/>
          </w:cols>
          <w:pgMar w:left="1400" w:top="1440" w:right="1419" w:bottom="1440" w:gutter="0" w:footer="0" w:header="0"/>
          <w:type w:val="continuous"/>
        </w:sectPr>
      </w:pPr>
    </w:p>
    <w:p>
      <w:pPr>
        <w:spacing w:after="0" w:line="18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Technology &amp; innovation</w:t>
      </w:r>
    </w:p>
    <w:p>
      <w:pPr>
        <w:spacing w:after="0" w:line="82" w:lineRule="exact"/>
        <w:rPr>
          <w:sz w:val="20"/>
          <w:szCs w:val="20"/>
          <w:color w:val="auto"/>
        </w:rPr>
      </w:pPr>
    </w:p>
    <w:p>
      <w:pPr>
        <w:ind w:left="140"/>
        <w:spacing w:after="0" w:line="267" w:lineRule="auto"/>
        <w:rPr>
          <w:sz w:val="20"/>
          <w:szCs w:val="20"/>
          <w:color w:val="auto"/>
        </w:rPr>
      </w:pPr>
      <w:r>
        <w:rPr>
          <w:rFonts w:ascii="Arial" w:cs="Arial" w:eastAsia="Arial" w:hAnsi="Arial"/>
          <w:sz w:val="14"/>
          <w:szCs w:val="14"/>
          <w:color w:val="auto"/>
        </w:rPr>
        <w:t>Experience including cloud computing, software development, artificial intelligence, technology architecture and digital transformation, through the development and evolution of technology platforms to provide clients digital choices, solutions and functionality.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leadership or board service</w:t>
      </w:r>
    </w:p>
    <w:p>
      <w:pPr>
        <w:spacing w:after="0" w:line="82" w:lineRule="exact"/>
        <w:rPr>
          <w:sz w:val="20"/>
          <w:szCs w:val="20"/>
          <w:color w:val="auto"/>
        </w:rPr>
      </w:pPr>
    </w:p>
    <w:p>
      <w:pPr>
        <w:jc w:val="both"/>
        <w:ind w:right="200"/>
        <w:spacing w:after="0" w:line="283" w:lineRule="auto"/>
        <w:rPr>
          <w:sz w:val="20"/>
          <w:szCs w:val="20"/>
          <w:color w:val="auto"/>
        </w:rPr>
      </w:pPr>
      <w:r>
        <w:rPr>
          <w:rFonts w:ascii="Arial" w:cs="Arial" w:eastAsia="Arial" w:hAnsi="Arial"/>
          <w:sz w:val="14"/>
          <w:szCs w:val="14"/>
          <w:color w:val="auto"/>
        </w:rPr>
        <w:t>Experience in large-scale strategy and operations, public company reporting responsibilities and the issues commonly faced by public companies.</w:t>
      </w:r>
    </w:p>
    <w:p>
      <w:pPr>
        <w:spacing w:after="0" w:line="526" w:lineRule="exact"/>
        <w:rPr>
          <w:sz w:val="20"/>
          <w:szCs w:val="20"/>
          <w:color w:val="auto"/>
        </w:rPr>
      </w:pPr>
    </w:p>
    <w:p>
      <w:pPr>
        <w:sectPr>
          <w:pgSz w:w="11900" w:h="16838" w:orient="portrait"/>
          <w:cols w:equalWidth="0" w:num="2">
            <w:col w:w="4180" w:space="460"/>
            <w:col w:w="4440"/>
          </w:cols>
          <w:pgMar w:left="1400" w:top="144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60" w:type="dxa"/>
        <w:tblCellMar>
          <w:top w:w="0" w:type="dxa"/>
          <w:left w:w="0" w:type="dxa"/>
          <w:bottom w:w="0" w:type="dxa"/>
          <w:right w:w="0" w:type="dxa"/>
        </w:tblCellMar>
      </w:tblPr>
      <w:tr>
        <w:trPr>
          <w:trHeight w:val="196"/>
        </w:trPr>
        <w:tc>
          <w:tcPr>
            <w:tcW w:w="2960" w:type="dxa"/>
            <w:vAlign w:val="bottom"/>
          </w:tcPr>
          <w:p>
            <w:pPr>
              <w:spacing w:after="0"/>
              <w:rPr>
                <w:sz w:val="20"/>
                <w:szCs w:val="20"/>
                <w:color w:val="auto"/>
              </w:rPr>
            </w:pPr>
            <w:r>
              <w:rPr>
                <w:rFonts w:ascii="Arial" w:cs="Arial" w:eastAsia="Arial" w:hAnsi="Arial"/>
                <w:sz w:val="13"/>
                <w:szCs w:val="13"/>
                <w:color w:val="auto"/>
              </w:rPr>
              <w:t>2026 Notice of Annual Meeting &amp;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2C6EC4"/>
              </w:rPr>
              <w:t>9</w:t>
            </w:r>
          </w:p>
        </w:tc>
      </w:tr>
    </w:tbl>
    <w:p>
      <w:pPr>
        <w:sectPr>
          <w:pgSz w:w="11900" w:h="16838" w:orient="portrait"/>
          <w:cols w:equalWidth="0" w:num="1">
            <w:col w:w="9080"/>
          </w:cols>
          <w:pgMar w:left="1400" w:top="1440" w:right="1419" w:bottom="1440" w:gutter="0" w:footer="0" w:header="0"/>
          <w:type w:val="continuous"/>
        </w:sectPr>
      </w:pPr>
    </w:p>
    <w:bookmarkStart w:id="15" w:name="page16"/>
    <w:bookmarkEnd w:id="15"/>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03. CORPORATE GOVERNANCE AND BOARD MATTERS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26"/>
        </w:trPr>
        <w:tc>
          <w:tcPr>
            <w:tcW w:w="100" w:type="dxa"/>
            <w:vAlign w:val="bottom"/>
            <w:shd w:val="clear" w:color="auto" w:fill="C43776"/>
          </w:tcPr>
          <w:p>
            <w:pPr>
              <w:spacing w:after="0"/>
              <w:rPr>
                <w:sz w:val="24"/>
                <w:szCs w:val="24"/>
                <w:color w:val="auto"/>
              </w:rPr>
            </w:pPr>
          </w:p>
        </w:tc>
        <w:tc>
          <w:tcPr>
            <w:tcW w:w="3300" w:type="dxa"/>
            <w:vAlign w:val="bottom"/>
            <w:shd w:val="clear" w:color="auto" w:fill="C43776"/>
          </w:tcPr>
          <w:p>
            <w:pPr>
              <w:spacing w:after="0"/>
              <w:rPr>
                <w:sz w:val="24"/>
                <w:szCs w:val="24"/>
                <w:color w:val="auto"/>
              </w:rPr>
            </w:pPr>
          </w:p>
        </w:tc>
        <w:tc>
          <w:tcPr>
            <w:tcW w:w="480" w:type="dxa"/>
            <w:vAlign w:val="bottom"/>
            <w:textDirection w:val="btLr"/>
            <w:shd w:val="clear" w:color="auto" w:fill="C43776"/>
          </w:tcPr>
          <w:p>
            <w:pPr>
              <w:ind w:left="205"/>
              <w:spacing w:after="0"/>
              <w:rPr>
                <w:sz w:val="20"/>
                <w:szCs w:val="20"/>
                <w:color w:val="auto"/>
              </w:rPr>
            </w:pPr>
            <w:r>
              <w:rPr>
                <w:rFonts w:ascii="Arial" w:cs="Arial" w:eastAsia="Arial" w:hAnsi="Arial"/>
                <w:sz w:val="14"/>
                <w:szCs w:val="14"/>
                <w:b w:val="1"/>
                <w:bCs w:val="1"/>
                <w:color w:val="FFFFFF"/>
              </w:rPr>
              <w:t>Annabelle Bexiga</w:t>
            </w:r>
          </w:p>
        </w:tc>
        <w:tc>
          <w:tcPr>
            <w:tcW w:w="480" w:type="dxa"/>
            <w:vAlign w:val="bottom"/>
            <w:textDirection w:val="btLr"/>
            <w:shd w:val="clear" w:color="auto" w:fill="C43776"/>
          </w:tcPr>
          <w:p>
            <w:pPr>
              <w:ind w:left="197"/>
              <w:spacing w:after="0"/>
              <w:rPr>
                <w:sz w:val="20"/>
                <w:szCs w:val="20"/>
                <w:color w:val="auto"/>
              </w:rPr>
            </w:pPr>
            <w:r>
              <w:rPr>
                <w:rFonts w:ascii="Arial" w:cs="Arial" w:eastAsia="Arial" w:hAnsi="Arial"/>
                <w:sz w:val="14"/>
                <w:szCs w:val="14"/>
                <w:b w:val="1"/>
                <w:bCs w:val="1"/>
                <w:color w:val="FFFFFF"/>
              </w:rPr>
              <w:t>David L. Bunch</w:t>
            </w:r>
          </w:p>
        </w:tc>
        <w:tc>
          <w:tcPr>
            <w:tcW w:w="460" w:type="dxa"/>
            <w:vAlign w:val="bottom"/>
            <w:textDirection w:val="btLr"/>
            <w:shd w:val="clear" w:color="auto" w:fill="C43776"/>
          </w:tcPr>
          <w:p>
            <w:pPr>
              <w:ind w:left="190"/>
              <w:spacing w:after="0"/>
              <w:rPr>
                <w:sz w:val="20"/>
                <w:szCs w:val="20"/>
                <w:color w:val="auto"/>
              </w:rPr>
            </w:pPr>
            <w:r>
              <w:rPr>
                <w:rFonts w:ascii="Arial" w:cs="Arial" w:eastAsia="Arial" w:hAnsi="Arial"/>
                <w:sz w:val="14"/>
                <w:szCs w:val="14"/>
                <w:b w:val="1"/>
                <w:bCs w:val="1"/>
                <w:color w:val="FFFFFF"/>
              </w:rPr>
              <w:t>Ronald F. Clarke</w:t>
            </w:r>
          </w:p>
        </w:tc>
        <w:tc>
          <w:tcPr>
            <w:tcW w:w="480" w:type="dxa"/>
            <w:vAlign w:val="bottom"/>
            <w:textDirection w:val="btLr"/>
            <w:shd w:val="clear" w:color="auto" w:fill="C43776"/>
          </w:tcPr>
          <w:p>
            <w:pPr>
              <w:ind w:left="202"/>
              <w:spacing w:after="0"/>
              <w:rPr>
                <w:sz w:val="20"/>
                <w:szCs w:val="20"/>
                <w:color w:val="auto"/>
              </w:rPr>
            </w:pPr>
            <w:r>
              <w:rPr>
                <w:rFonts w:ascii="Arial" w:cs="Arial" w:eastAsia="Arial" w:hAnsi="Arial"/>
                <w:sz w:val="14"/>
                <w:szCs w:val="14"/>
                <w:b w:val="1"/>
                <w:bCs w:val="1"/>
                <w:color w:val="FFFFFF"/>
              </w:rPr>
              <w:t>Joseph W. Farrelly</w:t>
            </w:r>
          </w:p>
        </w:tc>
        <w:tc>
          <w:tcPr>
            <w:tcW w:w="480" w:type="dxa"/>
            <w:vAlign w:val="bottom"/>
            <w:textDirection w:val="btLr"/>
            <w:shd w:val="clear" w:color="auto" w:fill="C43776"/>
          </w:tcPr>
          <w:p>
            <w:pPr>
              <w:ind w:left="195"/>
              <w:spacing w:after="0"/>
              <w:rPr>
                <w:sz w:val="20"/>
                <w:szCs w:val="20"/>
                <w:color w:val="auto"/>
              </w:rPr>
            </w:pPr>
            <w:r>
              <w:rPr>
                <w:rFonts w:ascii="Arial" w:cs="Arial" w:eastAsia="Arial" w:hAnsi="Arial"/>
                <w:sz w:val="14"/>
                <w:szCs w:val="14"/>
                <w:b w:val="1"/>
                <w:bCs w:val="1"/>
                <w:color w:val="FFFFFF"/>
              </w:rPr>
              <w:t>Rahul Gupta</w:t>
            </w:r>
          </w:p>
        </w:tc>
        <w:tc>
          <w:tcPr>
            <w:tcW w:w="460" w:type="dxa"/>
            <w:vAlign w:val="bottom"/>
            <w:textDirection w:val="btLr"/>
            <w:shd w:val="clear" w:color="auto" w:fill="C43776"/>
          </w:tcPr>
          <w:p>
            <w:pPr>
              <w:ind w:left="187"/>
              <w:spacing w:after="0"/>
              <w:rPr>
                <w:sz w:val="20"/>
                <w:szCs w:val="20"/>
                <w:color w:val="auto"/>
              </w:rPr>
            </w:pPr>
            <w:r>
              <w:rPr>
                <w:rFonts w:ascii="Arial" w:cs="Arial" w:eastAsia="Arial" w:hAnsi="Arial"/>
                <w:sz w:val="14"/>
                <w:szCs w:val="14"/>
                <w:b w:val="1"/>
                <w:bCs w:val="1"/>
                <w:color w:val="FFFFFF"/>
              </w:rPr>
              <w:t>Thomas M. Hagerty</w:t>
            </w:r>
          </w:p>
        </w:tc>
        <w:tc>
          <w:tcPr>
            <w:tcW w:w="480" w:type="dxa"/>
            <w:vAlign w:val="bottom"/>
            <w:textDirection w:val="btLr"/>
            <w:shd w:val="clear" w:color="auto" w:fill="C43776"/>
          </w:tcPr>
          <w:p>
            <w:pPr>
              <w:ind w:left="200"/>
              <w:spacing w:after="0"/>
              <w:rPr>
                <w:sz w:val="20"/>
                <w:szCs w:val="20"/>
                <w:color w:val="auto"/>
              </w:rPr>
            </w:pPr>
            <w:r>
              <w:rPr>
                <w:rFonts w:ascii="Arial" w:cs="Arial" w:eastAsia="Arial" w:hAnsi="Arial"/>
                <w:sz w:val="14"/>
                <w:szCs w:val="14"/>
                <w:b w:val="1"/>
                <w:bCs w:val="1"/>
                <w:color w:val="FFFFFF"/>
              </w:rPr>
              <w:t>Archie L. Jones, Jr.</w:t>
            </w:r>
          </w:p>
        </w:tc>
        <w:tc>
          <w:tcPr>
            <w:tcW w:w="480" w:type="dxa"/>
            <w:vAlign w:val="bottom"/>
            <w:textDirection w:val="btLr"/>
            <w:shd w:val="clear" w:color="auto" w:fill="C43776"/>
          </w:tcPr>
          <w:p>
            <w:pPr>
              <w:ind w:left="192"/>
              <w:spacing w:after="0"/>
              <w:rPr>
                <w:sz w:val="20"/>
                <w:szCs w:val="20"/>
                <w:color w:val="auto"/>
              </w:rPr>
            </w:pPr>
            <w:r>
              <w:rPr>
                <w:rFonts w:ascii="Arial" w:cs="Arial" w:eastAsia="Arial" w:hAnsi="Arial"/>
                <w:sz w:val="14"/>
                <w:szCs w:val="14"/>
                <w:b w:val="1"/>
                <w:bCs w:val="1"/>
                <w:color w:val="FFFFFF"/>
              </w:rPr>
              <w:t>Richard Macchia</w:t>
            </w:r>
          </w:p>
        </w:tc>
        <w:tc>
          <w:tcPr>
            <w:tcW w:w="460" w:type="dxa"/>
            <w:vAlign w:val="bottom"/>
            <w:textDirection w:val="btLr"/>
            <w:shd w:val="clear" w:color="auto" w:fill="C43776"/>
          </w:tcPr>
          <w:p>
            <w:pPr>
              <w:ind w:left="185"/>
              <w:spacing w:after="0"/>
              <w:rPr>
                <w:sz w:val="20"/>
                <w:szCs w:val="20"/>
                <w:color w:val="auto"/>
              </w:rPr>
            </w:pPr>
            <w:r>
              <w:rPr>
                <w:rFonts w:ascii="Arial" w:cs="Arial" w:eastAsia="Arial" w:hAnsi="Arial"/>
                <w:sz w:val="14"/>
                <w:szCs w:val="14"/>
                <w:b w:val="1"/>
                <w:bCs w:val="1"/>
                <w:color w:val="FFFFFF"/>
              </w:rPr>
              <w:t>Hala G. Moddelmog</w:t>
            </w:r>
          </w:p>
        </w:tc>
        <w:tc>
          <w:tcPr>
            <w:tcW w:w="480" w:type="dxa"/>
            <w:vAlign w:val="bottom"/>
            <w:textDirection w:val="btLr"/>
            <w:shd w:val="clear" w:color="auto" w:fill="C43776"/>
          </w:tcPr>
          <w:p>
            <w:pPr>
              <w:ind w:left="197"/>
              <w:spacing w:after="0"/>
              <w:rPr>
                <w:sz w:val="20"/>
                <w:szCs w:val="20"/>
                <w:color w:val="auto"/>
              </w:rPr>
            </w:pPr>
            <w:r>
              <w:rPr>
                <w:rFonts w:ascii="Arial" w:cs="Arial" w:eastAsia="Arial" w:hAnsi="Arial"/>
                <w:sz w:val="14"/>
                <w:szCs w:val="14"/>
                <w:b w:val="1"/>
                <w:bCs w:val="1"/>
                <w:color w:val="FFFFFF"/>
              </w:rPr>
              <w:t>Jeffrey S. Sloan</w:t>
            </w:r>
          </w:p>
        </w:tc>
        <w:tc>
          <w:tcPr>
            <w:tcW w:w="460" w:type="dxa"/>
            <w:vAlign w:val="bottom"/>
            <w:textDirection w:val="btLr"/>
            <w:shd w:val="clear" w:color="auto" w:fill="C43776"/>
          </w:tcPr>
          <w:p>
            <w:pPr>
              <w:ind w:left="190"/>
              <w:spacing w:after="0"/>
              <w:rPr>
                <w:sz w:val="20"/>
                <w:szCs w:val="20"/>
                <w:color w:val="auto"/>
              </w:rPr>
            </w:pPr>
            <w:r>
              <w:rPr>
                <w:rFonts w:ascii="Arial" w:cs="Arial" w:eastAsia="Arial" w:hAnsi="Arial"/>
                <w:sz w:val="14"/>
                <w:szCs w:val="14"/>
                <w:b w:val="1"/>
                <w:bCs w:val="1"/>
                <w:color w:val="FFFFFF"/>
              </w:rPr>
              <w:t>Steven T. Stull</w:t>
            </w:r>
          </w:p>
        </w:tc>
        <w:tc>
          <w:tcPr>
            <w:tcW w:w="480" w:type="dxa"/>
            <w:vAlign w:val="bottom"/>
            <w:textDirection w:val="btLr"/>
            <w:shd w:val="clear" w:color="auto" w:fill="C43776"/>
          </w:tcPr>
          <w:p>
            <w:pPr>
              <w:ind w:left="202"/>
              <w:spacing w:after="0"/>
              <w:rPr>
                <w:sz w:val="20"/>
                <w:szCs w:val="20"/>
                <w:color w:val="auto"/>
              </w:rPr>
            </w:pPr>
            <w:r>
              <w:rPr>
                <w:rFonts w:ascii="Arial" w:cs="Arial" w:eastAsia="Arial" w:hAnsi="Arial"/>
                <w:sz w:val="14"/>
                <w:szCs w:val="14"/>
                <w:b w:val="1"/>
                <w:bCs w:val="1"/>
                <w:color w:val="FFFFFF"/>
              </w:rPr>
              <w:t>Gerald Throop</w:t>
            </w:r>
          </w:p>
        </w:tc>
        <w:tc>
          <w:tcPr>
            <w:tcW w:w="0" w:type="dxa"/>
            <w:vAlign w:val="bottom"/>
          </w:tcPr>
          <w:p>
            <w:pPr>
              <w:spacing w:after="0"/>
              <w:rPr>
                <w:sz w:val="1"/>
                <w:szCs w:val="1"/>
                <w:color w:val="auto"/>
              </w:rPr>
            </w:pPr>
          </w:p>
        </w:tc>
      </w:tr>
      <w:tr>
        <w:trPr>
          <w:trHeight w:val="135"/>
        </w:trPr>
        <w:tc>
          <w:tcPr>
            <w:tcW w:w="100" w:type="dxa"/>
            <w:vAlign w:val="bottom"/>
            <w:shd w:val="clear" w:color="auto" w:fill="C43776"/>
          </w:tcPr>
          <w:p>
            <w:pPr>
              <w:spacing w:after="0"/>
              <w:rPr>
                <w:sz w:val="11"/>
                <w:szCs w:val="11"/>
                <w:color w:val="auto"/>
              </w:rPr>
            </w:pPr>
          </w:p>
        </w:tc>
        <w:tc>
          <w:tcPr>
            <w:tcW w:w="330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46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46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46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460" w:type="dxa"/>
            <w:vAlign w:val="bottom"/>
            <w:shd w:val="clear" w:color="auto" w:fill="C43776"/>
          </w:tcPr>
          <w:p>
            <w:pPr>
              <w:spacing w:after="0"/>
              <w:rPr>
                <w:sz w:val="11"/>
                <w:szCs w:val="11"/>
                <w:color w:val="auto"/>
              </w:rPr>
            </w:pPr>
          </w:p>
        </w:tc>
        <w:tc>
          <w:tcPr>
            <w:tcW w:w="480" w:type="dxa"/>
            <w:vAlign w:val="bottom"/>
            <w:shd w:val="clear" w:color="auto" w:fill="C43776"/>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Skills and Experience</w:t>
            </w: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00" w:type="dxa"/>
            <w:vAlign w:val="bottom"/>
            <w:tcBorders>
              <w:bottom w:val="single" w:sz="8" w:color="F1F2F2"/>
            </w:tcBorders>
            <w:shd w:val="clear" w:color="auto" w:fill="F1F2F2"/>
          </w:tcPr>
          <w:p>
            <w:pPr>
              <w:spacing w:after="0"/>
              <w:rPr>
                <w:sz w:val="24"/>
                <w:szCs w:val="24"/>
                <w:color w:val="auto"/>
              </w:rPr>
            </w:pPr>
          </w:p>
        </w:tc>
        <w:tc>
          <w:tcPr>
            <w:tcW w:w="33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Payments, financial services &amp; fintech</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Finance &amp; accounting</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F1F2F2"/>
            </w:tcBorders>
            <w:shd w:val="clear" w:color="auto" w:fill="F1F2F2"/>
          </w:tcPr>
          <w:p>
            <w:pPr>
              <w:spacing w:after="0"/>
              <w:rPr>
                <w:sz w:val="24"/>
                <w:szCs w:val="24"/>
                <w:color w:val="auto"/>
              </w:rPr>
            </w:pPr>
          </w:p>
        </w:tc>
        <w:tc>
          <w:tcPr>
            <w:tcW w:w="33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Accomplished operating executive</w:t>
            </w: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Technology &amp; innovation</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F1F2F2"/>
            </w:tcBorders>
            <w:shd w:val="clear" w:color="auto" w:fill="F1F2F2"/>
          </w:tcPr>
          <w:p>
            <w:pPr>
              <w:spacing w:after="0"/>
              <w:rPr>
                <w:sz w:val="24"/>
                <w:szCs w:val="24"/>
                <w:color w:val="auto"/>
              </w:rPr>
            </w:pPr>
          </w:p>
        </w:tc>
        <w:tc>
          <w:tcPr>
            <w:tcW w:w="33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Cyber &amp; information security</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spacing w:after="0"/>
              <w:rPr>
                <w:sz w:val="24"/>
                <w:szCs w:val="24"/>
                <w:color w:val="auto"/>
              </w:rPr>
            </w:pP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Global business</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spacing w:after="0"/>
              <w:rPr>
                <w:sz w:val="22"/>
                <w:szCs w:val="22"/>
                <w:color w:val="auto"/>
              </w:rPr>
            </w:pP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F1F2F2"/>
            </w:tcBorders>
            <w:shd w:val="clear" w:color="auto" w:fill="F1F2F2"/>
          </w:tcPr>
          <w:p>
            <w:pPr>
              <w:spacing w:after="0"/>
              <w:rPr>
                <w:sz w:val="24"/>
                <w:szCs w:val="24"/>
                <w:color w:val="auto"/>
              </w:rPr>
            </w:pPr>
          </w:p>
        </w:tc>
        <w:tc>
          <w:tcPr>
            <w:tcW w:w="33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Business development &amp; strategy</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Other public company leadership</w:t>
            </w:r>
          </w:p>
        </w:tc>
        <w:tc>
          <w:tcPr>
            <w:tcW w:w="480" w:type="dxa"/>
            <w:vAlign w:val="bottom"/>
            <w:vMerge w:val="restart"/>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vMerge w:val="restart"/>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spacing w:after="0"/>
              <w:rPr>
                <w:sz w:val="21"/>
                <w:szCs w:val="21"/>
                <w:color w:val="auto"/>
              </w:rPr>
            </w:pPr>
          </w:p>
        </w:tc>
        <w:tc>
          <w:tcPr>
            <w:tcW w:w="48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vMerge w:val="restart"/>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Pr>
          <w:p>
            <w:pPr>
              <w:spacing w:after="0"/>
              <w:rPr>
                <w:sz w:val="21"/>
                <w:szCs w:val="21"/>
                <w:color w:val="auto"/>
              </w:rPr>
            </w:pPr>
          </w:p>
        </w:tc>
        <w:tc>
          <w:tcPr>
            <w:tcW w:w="480" w:type="dxa"/>
            <w:vAlign w:val="bottom"/>
            <w:vMerge w:val="restart"/>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3300" w:type="dxa"/>
            <w:vAlign w:val="bottom"/>
            <w:vMerge w:val="restart"/>
          </w:tcPr>
          <w:p>
            <w:pPr>
              <w:ind w:left="160"/>
              <w:spacing w:after="0"/>
              <w:rPr>
                <w:sz w:val="20"/>
                <w:szCs w:val="20"/>
                <w:color w:val="auto"/>
              </w:rPr>
            </w:pPr>
            <w:r>
              <w:rPr>
                <w:rFonts w:ascii="Arial" w:cs="Arial" w:eastAsia="Arial" w:hAnsi="Arial"/>
                <w:sz w:val="14"/>
                <w:szCs w:val="14"/>
                <w:color w:val="auto"/>
              </w:rPr>
              <w:t>or board service</w:t>
            </w:r>
          </w:p>
        </w:tc>
        <w:tc>
          <w:tcPr>
            <w:tcW w:w="4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C43776"/>
            </w:tcBorders>
          </w:tcPr>
          <w:p>
            <w:pPr>
              <w:spacing w:after="0"/>
              <w:rPr>
                <w:sz w:val="4"/>
                <w:szCs w:val="4"/>
                <w:color w:val="auto"/>
              </w:rPr>
            </w:pPr>
          </w:p>
        </w:tc>
        <w:tc>
          <w:tcPr>
            <w:tcW w:w="330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00" w:type="dxa"/>
            <w:vAlign w:val="bottom"/>
            <w:tcBorders>
              <w:bottom w:val="single" w:sz="8" w:color="F1F2F2"/>
            </w:tcBorders>
            <w:shd w:val="clear" w:color="auto" w:fill="F1F2F2"/>
          </w:tcPr>
          <w:p>
            <w:pPr>
              <w:spacing w:after="0"/>
              <w:rPr>
                <w:sz w:val="23"/>
                <w:szCs w:val="23"/>
                <w:color w:val="auto"/>
              </w:rPr>
            </w:pPr>
          </w:p>
        </w:tc>
        <w:tc>
          <w:tcPr>
            <w:tcW w:w="330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4"/>
                <w:szCs w:val="14"/>
                <w:b w:val="1"/>
                <w:bCs w:val="1"/>
                <w:color w:val="auto"/>
              </w:rPr>
              <w:t>Racial/Ethnic Demographics</w:t>
            </w:r>
          </w:p>
        </w:tc>
        <w:tc>
          <w:tcPr>
            <w:tcW w:w="480" w:type="dxa"/>
            <w:vAlign w:val="bottom"/>
            <w:tcBorders>
              <w:bottom w:val="single" w:sz="8" w:color="F1F2F2"/>
            </w:tcBorders>
            <w:shd w:val="clear" w:color="auto" w:fill="F1F2F2"/>
          </w:tcPr>
          <w:p>
            <w:pPr>
              <w:spacing w:after="0"/>
              <w:rPr>
                <w:sz w:val="23"/>
                <w:szCs w:val="23"/>
                <w:color w:val="auto"/>
              </w:rPr>
            </w:pPr>
          </w:p>
        </w:tc>
        <w:tc>
          <w:tcPr>
            <w:tcW w:w="480" w:type="dxa"/>
            <w:vAlign w:val="bottom"/>
            <w:tcBorders>
              <w:bottom w:val="single" w:sz="8" w:color="F1F2F2"/>
            </w:tcBorders>
            <w:shd w:val="clear" w:color="auto" w:fill="F1F2F2"/>
          </w:tcPr>
          <w:p>
            <w:pPr>
              <w:spacing w:after="0"/>
              <w:rPr>
                <w:sz w:val="23"/>
                <w:szCs w:val="23"/>
                <w:color w:val="auto"/>
              </w:rPr>
            </w:pPr>
          </w:p>
        </w:tc>
        <w:tc>
          <w:tcPr>
            <w:tcW w:w="460" w:type="dxa"/>
            <w:vAlign w:val="bottom"/>
            <w:tcBorders>
              <w:bottom w:val="single" w:sz="8" w:color="F1F2F2"/>
            </w:tcBorders>
            <w:shd w:val="clear" w:color="auto" w:fill="F1F2F2"/>
          </w:tcPr>
          <w:p>
            <w:pPr>
              <w:spacing w:after="0"/>
              <w:rPr>
                <w:sz w:val="23"/>
                <w:szCs w:val="23"/>
                <w:color w:val="auto"/>
              </w:rPr>
            </w:pPr>
          </w:p>
        </w:tc>
        <w:tc>
          <w:tcPr>
            <w:tcW w:w="480" w:type="dxa"/>
            <w:vAlign w:val="bottom"/>
            <w:tcBorders>
              <w:bottom w:val="single" w:sz="8" w:color="F1F2F2"/>
            </w:tcBorders>
            <w:shd w:val="clear" w:color="auto" w:fill="F1F2F2"/>
          </w:tcPr>
          <w:p>
            <w:pPr>
              <w:spacing w:after="0"/>
              <w:rPr>
                <w:sz w:val="23"/>
                <w:szCs w:val="23"/>
                <w:color w:val="auto"/>
              </w:rPr>
            </w:pPr>
          </w:p>
        </w:tc>
        <w:tc>
          <w:tcPr>
            <w:tcW w:w="480" w:type="dxa"/>
            <w:vAlign w:val="bottom"/>
            <w:tcBorders>
              <w:bottom w:val="single" w:sz="8" w:color="F1F2F2"/>
            </w:tcBorders>
            <w:shd w:val="clear" w:color="auto" w:fill="F1F2F2"/>
          </w:tcPr>
          <w:p>
            <w:pPr>
              <w:spacing w:after="0"/>
              <w:rPr>
                <w:sz w:val="23"/>
                <w:szCs w:val="23"/>
                <w:color w:val="auto"/>
              </w:rPr>
            </w:pPr>
          </w:p>
        </w:tc>
        <w:tc>
          <w:tcPr>
            <w:tcW w:w="460" w:type="dxa"/>
            <w:vAlign w:val="bottom"/>
            <w:tcBorders>
              <w:bottom w:val="single" w:sz="8" w:color="F1F2F2"/>
            </w:tcBorders>
            <w:shd w:val="clear" w:color="auto" w:fill="F1F2F2"/>
          </w:tcPr>
          <w:p>
            <w:pPr>
              <w:spacing w:after="0"/>
              <w:rPr>
                <w:sz w:val="23"/>
                <w:szCs w:val="23"/>
                <w:color w:val="auto"/>
              </w:rPr>
            </w:pPr>
          </w:p>
        </w:tc>
        <w:tc>
          <w:tcPr>
            <w:tcW w:w="480" w:type="dxa"/>
            <w:vAlign w:val="bottom"/>
            <w:tcBorders>
              <w:bottom w:val="single" w:sz="8" w:color="F1F2F2"/>
            </w:tcBorders>
            <w:shd w:val="clear" w:color="auto" w:fill="F1F2F2"/>
          </w:tcPr>
          <w:p>
            <w:pPr>
              <w:spacing w:after="0"/>
              <w:rPr>
                <w:sz w:val="23"/>
                <w:szCs w:val="23"/>
                <w:color w:val="auto"/>
              </w:rPr>
            </w:pPr>
          </w:p>
        </w:tc>
        <w:tc>
          <w:tcPr>
            <w:tcW w:w="480" w:type="dxa"/>
            <w:vAlign w:val="bottom"/>
            <w:tcBorders>
              <w:bottom w:val="single" w:sz="8" w:color="F1F2F2"/>
            </w:tcBorders>
            <w:shd w:val="clear" w:color="auto" w:fill="F1F2F2"/>
          </w:tcPr>
          <w:p>
            <w:pPr>
              <w:spacing w:after="0"/>
              <w:rPr>
                <w:sz w:val="23"/>
                <w:szCs w:val="23"/>
                <w:color w:val="auto"/>
              </w:rPr>
            </w:pPr>
          </w:p>
        </w:tc>
        <w:tc>
          <w:tcPr>
            <w:tcW w:w="460" w:type="dxa"/>
            <w:vAlign w:val="bottom"/>
            <w:tcBorders>
              <w:bottom w:val="single" w:sz="8" w:color="F1F2F2"/>
            </w:tcBorders>
            <w:shd w:val="clear" w:color="auto" w:fill="F1F2F2"/>
          </w:tcPr>
          <w:p>
            <w:pPr>
              <w:spacing w:after="0"/>
              <w:rPr>
                <w:sz w:val="23"/>
                <w:szCs w:val="23"/>
                <w:color w:val="auto"/>
              </w:rPr>
            </w:pPr>
          </w:p>
        </w:tc>
        <w:tc>
          <w:tcPr>
            <w:tcW w:w="480" w:type="dxa"/>
            <w:vAlign w:val="bottom"/>
            <w:tcBorders>
              <w:bottom w:val="single" w:sz="8" w:color="F1F2F2"/>
            </w:tcBorders>
            <w:shd w:val="clear" w:color="auto" w:fill="F1F2F2"/>
          </w:tcPr>
          <w:p>
            <w:pPr>
              <w:spacing w:after="0"/>
              <w:rPr>
                <w:sz w:val="23"/>
                <w:szCs w:val="23"/>
                <w:color w:val="auto"/>
              </w:rPr>
            </w:pPr>
          </w:p>
        </w:tc>
        <w:tc>
          <w:tcPr>
            <w:tcW w:w="460" w:type="dxa"/>
            <w:vAlign w:val="bottom"/>
            <w:tcBorders>
              <w:bottom w:val="single" w:sz="8" w:color="F1F2F2"/>
            </w:tcBorders>
            <w:shd w:val="clear" w:color="auto" w:fill="F1F2F2"/>
          </w:tcPr>
          <w:p>
            <w:pPr>
              <w:spacing w:after="0"/>
              <w:rPr>
                <w:sz w:val="23"/>
                <w:szCs w:val="23"/>
                <w:color w:val="auto"/>
              </w:rPr>
            </w:pPr>
          </w:p>
        </w:tc>
        <w:tc>
          <w:tcPr>
            <w:tcW w:w="480" w:type="dxa"/>
            <w:vAlign w:val="bottom"/>
            <w:tcBorders>
              <w:bottom w:val="single" w:sz="8" w:color="F1F2F2"/>
            </w:tcBorders>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African American or Black</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F1F2F2"/>
            </w:tcBorders>
            <w:shd w:val="clear" w:color="auto" w:fill="F1F2F2"/>
          </w:tcPr>
          <w:p>
            <w:pPr>
              <w:spacing w:after="0"/>
              <w:rPr>
                <w:sz w:val="24"/>
                <w:szCs w:val="24"/>
                <w:color w:val="auto"/>
              </w:rPr>
            </w:pPr>
          </w:p>
        </w:tc>
        <w:tc>
          <w:tcPr>
            <w:tcW w:w="33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Indian</w:t>
            </w: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Hispanic</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100" w:type="dxa"/>
            <w:vAlign w:val="bottom"/>
            <w:tcBorders>
              <w:bottom w:val="single" w:sz="8" w:color="F1F2F2"/>
            </w:tcBorders>
            <w:shd w:val="clear" w:color="auto" w:fill="F1F2F2"/>
          </w:tcPr>
          <w:p>
            <w:pPr>
              <w:spacing w:after="0"/>
              <w:rPr>
                <w:sz w:val="24"/>
                <w:szCs w:val="24"/>
                <w:color w:val="auto"/>
              </w:rPr>
            </w:pPr>
          </w:p>
        </w:tc>
        <w:tc>
          <w:tcPr>
            <w:tcW w:w="33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White</w:t>
            </w: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spacing w:after="0"/>
              <w:rPr>
                <w:sz w:val="24"/>
                <w:szCs w:val="24"/>
                <w:color w:val="auto"/>
              </w:rPr>
            </w:pP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248"/>
        </w:trPr>
        <w:tc>
          <w:tcPr>
            <w:tcW w:w="100" w:type="dxa"/>
            <w:vAlign w:val="bottom"/>
            <w:tcBorders>
              <w:top w:val="single" w:sz="8" w:color="C43776"/>
            </w:tcBorders>
          </w:tcPr>
          <w:p>
            <w:pPr>
              <w:spacing w:after="0"/>
              <w:rPr>
                <w:sz w:val="21"/>
                <w:szCs w:val="21"/>
                <w:color w:val="auto"/>
              </w:rPr>
            </w:pPr>
          </w:p>
        </w:tc>
        <w:tc>
          <w:tcPr>
            <w:tcW w:w="3300" w:type="dxa"/>
            <w:vAlign w:val="bottom"/>
            <w:tcBorders>
              <w:top w:val="single" w:sz="8" w:color="C43776"/>
            </w:tcBorders>
          </w:tcPr>
          <w:p>
            <w:pPr>
              <w:ind w:left="40"/>
              <w:spacing w:after="0"/>
              <w:rPr>
                <w:sz w:val="20"/>
                <w:szCs w:val="20"/>
                <w:color w:val="auto"/>
              </w:rPr>
            </w:pPr>
            <w:r>
              <w:rPr>
                <w:rFonts w:ascii="Arial" w:cs="Arial" w:eastAsia="Arial" w:hAnsi="Arial"/>
                <w:sz w:val="14"/>
                <w:szCs w:val="14"/>
                <w:b w:val="1"/>
                <w:bCs w:val="1"/>
                <w:color w:val="auto"/>
              </w:rPr>
              <w:t>Gender Demographics</w:t>
            </w:r>
          </w:p>
        </w:tc>
        <w:tc>
          <w:tcPr>
            <w:tcW w:w="480" w:type="dxa"/>
            <w:vAlign w:val="bottom"/>
            <w:tcBorders>
              <w:top w:val="single" w:sz="8" w:color="C43776"/>
            </w:tcBorders>
          </w:tcPr>
          <w:p>
            <w:pPr>
              <w:spacing w:after="0"/>
              <w:rPr>
                <w:sz w:val="21"/>
                <w:szCs w:val="21"/>
                <w:color w:val="auto"/>
              </w:rPr>
            </w:pPr>
          </w:p>
        </w:tc>
        <w:tc>
          <w:tcPr>
            <w:tcW w:w="480" w:type="dxa"/>
            <w:vAlign w:val="bottom"/>
            <w:tcBorders>
              <w:top w:val="single" w:sz="8" w:color="C43776"/>
            </w:tcBorders>
          </w:tcPr>
          <w:p>
            <w:pPr>
              <w:spacing w:after="0"/>
              <w:rPr>
                <w:sz w:val="21"/>
                <w:szCs w:val="21"/>
                <w:color w:val="auto"/>
              </w:rPr>
            </w:pPr>
          </w:p>
        </w:tc>
        <w:tc>
          <w:tcPr>
            <w:tcW w:w="460" w:type="dxa"/>
            <w:vAlign w:val="bottom"/>
            <w:tcBorders>
              <w:top w:val="single" w:sz="8" w:color="C43776"/>
            </w:tcBorders>
          </w:tcPr>
          <w:p>
            <w:pPr>
              <w:spacing w:after="0"/>
              <w:rPr>
                <w:sz w:val="21"/>
                <w:szCs w:val="21"/>
                <w:color w:val="auto"/>
              </w:rPr>
            </w:pPr>
          </w:p>
        </w:tc>
        <w:tc>
          <w:tcPr>
            <w:tcW w:w="480" w:type="dxa"/>
            <w:vAlign w:val="bottom"/>
            <w:tcBorders>
              <w:top w:val="single" w:sz="8" w:color="C43776"/>
            </w:tcBorders>
          </w:tcPr>
          <w:p>
            <w:pPr>
              <w:spacing w:after="0"/>
              <w:rPr>
                <w:sz w:val="21"/>
                <w:szCs w:val="21"/>
                <w:color w:val="auto"/>
              </w:rPr>
            </w:pPr>
          </w:p>
        </w:tc>
        <w:tc>
          <w:tcPr>
            <w:tcW w:w="480" w:type="dxa"/>
            <w:vAlign w:val="bottom"/>
            <w:tcBorders>
              <w:top w:val="single" w:sz="8" w:color="C43776"/>
            </w:tcBorders>
          </w:tcPr>
          <w:p>
            <w:pPr>
              <w:spacing w:after="0"/>
              <w:rPr>
                <w:sz w:val="21"/>
                <w:szCs w:val="21"/>
                <w:color w:val="auto"/>
              </w:rPr>
            </w:pPr>
          </w:p>
        </w:tc>
        <w:tc>
          <w:tcPr>
            <w:tcW w:w="460" w:type="dxa"/>
            <w:vAlign w:val="bottom"/>
            <w:tcBorders>
              <w:top w:val="single" w:sz="8" w:color="C43776"/>
            </w:tcBorders>
          </w:tcPr>
          <w:p>
            <w:pPr>
              <w:spacing w:after="0"/>
              <w:rPr>
                <w:sz w:val="21"/>
                <w:szCs w:val="21"/>
                <w:color w:val="auto"/>
              </w:rPr>
            </w:pPr>
          </w:p>
        </w:tc>
        <w:tc>
          <w:tcPr>
            <w:tcW w:w="480" w:type="dxa"/>
            <w:vAlign w:val="bottom"/>
            <w:tcBorders>
              <w:top w:val="single" w:sz="8" w:color="C43776"/>
            </w:tcBorders>
          </w:tcPr>
          <w:p>
            <w:pPr>
              <w:spacing w:after="0"/>
              <w:rPr>
                <w:sz w:val="21"/>
                <w:szCs w:val="21"/>
                <w:color w:val="auto"/>
              </w:rPr>
            </w:pPr>
          </w:p>
        </w:tc>
        <w:tc>
          <w:tcPr>
            <w:tcW w:w="480" w:type="dxa"/>
            <w:vAlign w:val="bottom"/>
            <w:tcBorders>
              <w:top w:val="single" w:sz="8" w:color="C43776"/>
            </w:tcBorders>
          </w:tcPr>
          <w:p>
            <w:pPr>
              <w:spacing w:after="0"/>
              <w:rPr>
                <w:sz w:val="21"/>
                <w:szCs w:val="21"/>
                <w:color w:val="auto"/>
              </w:rPr>
            </w:pPr>
          </w:p>
        </w:tc>
        <w:tc>
          <w:tcPr>
            <w:tcW w:w="460" w:type="dxa"/>
            <w:vAlign w:val="bottom"/>
            <w:tcBorders>
              <w:top w:val="single" w:sz="8" w:color="C43776"/>
            </w:tcBorders>
          </w:tcPr>
          <w:p>
            <w:pPr>
              <w:spacing w:after="0"/>
              <w:rPr>
                <w:sz w:val="21"/>
                <w:szCs w:val="21"/>
                <w:color w:val="auto"/>
              </w:rPr>
            </w:pPr>
          </w:p>
        </w:tc>
        <w:tc>
          <w:tcPr>
            <w:tcW w:w="480" w:type="dxa"/>
            <w:vAlign w:val="bottom"/>
            <w:tcBorders>
              <w:top w:val="single" w:sz="8" w:color="C43776"/>
            </w:tcBorders>
          </w:tcPr>
          <w:p>
            <w:pPr>
              <w:spacing w:after="0"/>
              <w:rPr>
                <w:sz w:val="21"/>
                <w:szCs w:val="21"/>
                <w:color w:val="auto"/>
              </w:rPr>
            </w:pPr>
          </w:p>
        </w:tc>
        <w:tc>
          <w:tcPr>
            <w:tcW w:w="460" w:type="dxa"/>
            <w:vAlign w:val="bottom"/>
            <w:tcBorders>
              <w:top w:val="single" w:sz="8" w:color="C43776"/>
            </w:tcBorders>
          </w:tcPr>
          <w:p>
            <w:pPr>
              <w:spacing w:after="0"/>
              <w:rPr>
                <w:sz w:val="21"/>
                <w:szCs w:val="21"/>
                <w:color w:val="auto"/>
              </w:rPr>
            </w:pPr>
          </w:p>
        </w:tc>
        <w:tc>
          <w:tcPr>
            <w:tcW w:w="480" w:type="dxa"/>
            <w:vAlign w:val="bottom"/>
            <w:tcBorders>
              <w:top w:val="single" w:sz="8" w:color="C43776"/>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F1F2F2"/>
            </w:tcBorders>
            <w:shd w:val="clear" w:color="auto" w:fill="F1F2F2"/>
          </w:tcPr>
          <w:p>
            <w:pPr>
              <w:spacing w:after="0"/>
              <w:rPr>
                <w:sz w:val="24"/>
                <w:szCs w:val="24"/>
                <w:color w:val="auto"/>
              </w:rPr>
            </w:pPr>
          </w:p>
        </w:tc>
        <w:tc>
          <w:tcPr>
            <w:tcW w:w="33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Male</w:t>
            </w:r>
          </w:p>
        </w:tc>
        <w:tc>
          <w:tcPr>
            <w:tcW w:w="48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spacing w:after="0"/>
              <w:rPr>
                <w:sz w:val="24"/>
                <w:szCs w:val="24"/>
                <w:color w:val="auto"/>
              </w:rPr>
            </w:pPr>
          </w:p>
        </w:tc>
        <w:tc>
          <w:tcPr>
            <w:tcW w:w="48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60" w:type="dxa"/>
            <w:vAlign w:val="bottom"/>
            <w:tcBorders>
              <w:bottom w:val="single" w:sz="8" w:color="F1F2F2"/>
            </w:tcBorders>
            <w:shd w:val="clear" w:color="auto" w:fill="F1F2F2"/>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Borders>
              <w:bottom w:val="single" w:sz="8" w:color="F1F2F2"/>
            </w:tcBorders>
            <w:shd w:val="clear" w:color="auto" w:fill="F1F2F2"/>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Female</w:t>
            </w:r>
          </w:p>
        </w:tc>
        <w:tc>
          <w:tcPr>
            <w:tcW w:w="480" w:type="dxa"/>
            <w:vAlign w:val="bottom"/>
          </w:tcPr>
          <w:p>
            <w:pPr>
              <w:ind w:left="20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Wingdings" w:cs="Wingdings" w:eastAsia="Wingdings" w:hAnsi="Wingdings"/>
                <w:sz w:val="14"/>
                <w:szCs w:val="14"/>
                <w:b w:val="1"/>
                <w:bCs w:val="1"/>
                <w:color w:val="58595B"/>
              </w:rPr>
              <w:t>l</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C43776"/>
            </w:tcBorders>
          </w:tcPr>
          <w:p>
            <w:pPr>
              <w:spacing w:after="0"/>
              <w:rPr>
                <w:sz w:val="4"/>
                <w:szCs w:val="4"/>
                <w:color w:val="auto"/>
              </w:rPr>
            </w:pPr>
          </w:p>
        </w:tc>
        <w:tc>
          <w:tcPr>
            <w:tcW w:w="330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6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FFFFFF"/>
        </w:rPr>
        <w:t>Board Demographics Matrix (as of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ind w:left="140"/>
              <w:spacing w:after="0"/>
              <w:rPr>
                <w:sz w:val="20"/>
                <w:szCs w:val="20"/>
                <w:color w:val="auto"/>
              </w:rPr>
            </w:pPr>
            <w:r>
              <w:rPr>
                <w:rFonts w:ascii="Arial" w:cs="Arial" w:eastAsia="Arial" w:hAnsi="Arial"/>
                <w:sz w:val="14"/>
                <w:szCs w:val="14"/>
                <w:b w:val="1"/>
                <w:bCs w:val="1"/>
                <w:color w:val="auto"/>
              </w:rPr>
              <w:t>Total Number of Directors:</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color w:val="auto"/>
              </w:rPr>
              <w:t>12</w:t>
            </w:r>
          </w:p>
        </w:tc>
        <w:tc>
          <w:tcPr>
            <w:tcW w:w="2140" w:type="dxa"/>
            <w:vAlign w:val="bottom"/>
          </w:tcPr>
          <w:p>
            <w:pPr>
              <w:spacing w:after="0"/>
              <w:rPr>
                <w:sz w:val="17"/>
                <w:szCs w:val="17"/>
                <w:color w:val="auto"/>
              </w:rPr>
            </w:pPr>
          </w:p>
        </w:tc>
      </w:tr>
      <w:tr>
        <w:trPr>
          <w:trHeight w:val="56"/>
        </w:trPr>
        <w:tc>
          <w:tcPr>
            <w:tcW w:w="3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r>
      <w:tr>
        <w:trPr>
          <w:trHeight w:val="295"/>
        </w:trPr>
        <w:tc>
          <w:tcPr>
            <w:tcW w:w="3500" w:type="dxa"/>
            <w:vAlign w:val="bottom"/>
            <w:shd w:val="clear" w:color="auto" w:fill="C43776"/>
          </w:tcPr>
          <w:p>
            <w:pPr>
              <w:spacing w:after="0"/>
              <w:rPr>
                <w:sz w:val="24"/>
                <w:szCs w:val="24"/>
                <w:color w:val="auto"/>
              </w:rPr>
            </w:pPr>
          </w:p>
        </w:tc>
        <w:tc>
          <w:tcPr>
            <w:tcW w:w="1320" w:type="dxa"/>
            <w:vAlign w:val="bottom"/>
            <w:shd w:val="clear" w:color="auto" w:fill="C43776"/>
          </w:tcPr>
          <w:p>
            <w:pPr>
              <w:ind w:left="480"/>
              <w:spacing w:after="0"/>
              <w:rPr>
                <w:sz w:val="20"/>
                <w:szCs w:val="20"/>
                <w:color w:val="auto"/>
              </w:rPr>
            </w:pPr>
            <w:r>
              <w:rPr>
                <w:rFonts w:ascii="Arial" w:cs="Arial" w:eastAsia="Arial" w:hAnsi="Arial"/>
                <w:sz w:val="14"/>
                <w:szCs w:val="14"/>
                <w:b w:val="1"/>
                <w:bCs w:val="1"/>
                <w:color w:val="FFFFFF"/>
              </w:rPr>
              <w:t>Female</w:t>
            </w:r>
          </w:p>
        </w:tc>
        <w:tc>
          <w:tcPr>
            <w:tcW w:w="920" w:type="dxa"/>
            <w:vAlign w:val="bottom"/>
            <w:shd w:val="clear" w:color="auto" w:fill="C43776"/>
          </w:tcPr>
          <w:p>
            <w:pPr>
              <w:ind w:left="340"/>
              <w:spacing w:after="0"/>
              <w:rPr>
                <w:sz w:val="20"/>
                <w:szCs w:val="20"/>
                <w:color w:val="auto"/>
              </w:rPr>
            </w:pPr>
            <w:r>
              <w:rPr>
                <w:rFonts w:ascii="Arial" w:cs="Arial" w:eastAsia="Arial" w:hAnsi="Arial"/>
                <w:sz w:val="14"/>
                <w:szCs w:val="14"/>
                <w:b w:val="1"/>
                <w:bCs w:val="1"/>
                <w:color w:val="FFFFFF"/>
              </w:rPr>
              <w:t>Male</w:t>
            </w:r>
          </w:p>
        </w:tc>
        <w:tc>
          <w:tcPr>
            <w:tcW w:w="1200" w:type="dxa"/>
            <w:vAlign w:val="bottom"/>
            <w:shd w:val="clear" w:color="auto" w:fill="C43776"/>
          </w:tcPr>
          <w:p>
            <w:pPr>
              <w:jc w:val="center"/>
              <w:ind w:left="28"/>
              <w:spacing w:after="0"/>
              <w:rPr>
                <w:sz w:val="20"/>
                <w:szCs w:val="20"/>
                <w:color w:val="auto"/>
              </w:rPr>
            </w:pPr>
            <w:r>
              <w:rPr>
                <w:rFonts w:ascii="Arial" w:cs="Arial" w:eastAsia="Arial" w:hAnsi="Arial"/>
                <w:sz w:val="14"/>
                <w:szCs w:val="14"/>
                <w:b w:val="1"/>
                <w:bCs w:val="1"/>
                <w:color w:val="FFFFFF"/>
              </w:rPr>
              <w:t>Non-Binary</w:t>
            </w:r>
          </w:p>
        </w:tc>
        <w:tc>
          <w:tcPr>
            <w:tcW w:w="2140" w:type="dxa"/>
            <w:vAlign w:val="bottom"/>
            <w:shd w:val="clear" w:color="auto" w:fill="C43776"/>
          </w:tcPr>
          <w:p>
            <w:pPr>
              <w:jc w:val="center"/>
              <w:ind w:right="28"/>
              <w:spacing w:after="0"/>
              <w:rPr>
                <w:sz w:val="20"/>
                <w:szCs w:val="20"/>
                <w:color w:val="auto"/>
              </w:rPr>
            </w:pPr>
            <w:r>
              <w:rPr>
                <w:rFonts w:ascii="Arial" w:cs="Arial" w:eastAsia="Arial" w:hAnsi="Arial"/>
                <w:sz w:val="14"/>
                <w:szCs w:val="14"/>
                <w:b w:val="1"/>
                <w:bCs w:val="1"/>
                <w:color w:val="FFFFFF"/>
              </w:rPr>
              <w:t>Did Not Disclose Gender</w:t>
            </w:r>
          </w:p>
        </w:tc>
      </w:tr>
      <w:tr>
        <w:trPr>
          <w:trHeight w:val="69"/>
        </w:trPr>
        <w:tc>
          <w:tcPr>
            <w:tcW w:w="3500" w:type="dxa"/>
            <w:vAlign w:val="bottom"/>
            <w:shd w:val="clear" w:color="auto" w:fill="C43776"/>
          </w:tcPr>
          <w:p>
            <w:pPr>
              <w:spacing w:after="0"/>
              <w:rPr>
                <w:sz w:val="6"/>
                <w:szCs w:val="6"/>
                <w:color w:val="auto"/>
              </w:rPr>
            </w:pPr>
          </w:p>
        </w:tc>
        <w:tc>
          <w:tcPr>
            <w:tcW w:w="1320" w:type="dxa"/>
            <w:vAlign w:val="bottom"/>
            <w:shd w:val="clear" w:color="auto" w:fill="C43776"/>
          </w:tcPr>
          <w:p>
            <w:pPr>
              <w:spacing w:after="0"/>
              <w:rPr>
                <w:sz w:val="6"/>
                <w:szCs w:val="6"/>
                <w:color w:val="auto"/>
              </w:rPr>
            </w:pPr>
          </w:p>
        </w:tc>
        <w:tc>
          <w:tcPr>
            <w:tcW w:w="920" w:type="dxa"/>
            <w:vAlign w:val="bottom"/>
            <w:shd w:val="clear" w:color="auto" w:fill="C43776"/>
          </w:tcPr>
          <w:p>
            <w:pPr>
              <w:spacing w:after="0"/>
              <w:rPr>
                <w:sz w:val="6"/>
                <w:szCs w:val="6"/>
                <w:color w:val="auto"/>
              </w:rPr>
            </w:pPr>
          </w:p>
        </w:tc>
        <w:tc>
          <w:tcPr>
            <w:tcW w:w="1200" w:type="dxa"/>
            <w:vAlign w:val="bottom"/>
            <w:shd w:val="clear" w:color="auto" w:fill="C43776"/>
          </w:tcPr>
          <w:p>
            <w:pPr>
              <w:spacing w:after="0"/>
              <w:rPr>
                <w:sz w:val="6"/>
                <w:szCs w:val="6"/>
                <w:color w:val="auto"/>
              </w:rPr>
            </w:pPr>
          </w:p>
        </w:tc>
        <w:tc>
          <w:tcPr>
            <w:tcW w:w="2140" w:type="dxa"/>
            <w:vAlign w:val="bottom"/>
            <w:shd w:val="clear" w:color="auto" w:fill="C43776"/>
          </w:tcPr>
          <w:p>
            <w:pPr>
              <w:spacing w:after="0"/>
              <w:rPr>
                <w:sz w:val="6"/>
                <w:szCs w:val="6"/>
                <w:color w:val="auto"/>
              </w:rPr>
            </w:pPr>
          </w:p>
        </w:tc>
      </w:tr>
      <w:tr>
        <w:trPr>
          <w:trHeight w:val="268"/>
        </w:trPr>
        <w:tc>
          <w:tcPr>
            <w:tcW w:w="3500" w:type="dxa"/>
            <w:vAlign w:val="bottom"/>
          </w:tcPr>
          <w:p>
            <w:pPr>
              <w:ind w:left="140"/>
              <w:spacing w:after="0"/>
              <w:rPr>
                <w:sz w:val="20"/>
                <w:szCs w:val="20"/>
                <w:color w:val="auto"/>
              </w:rPr>
            </w:pPr>
            <w:r>
              <w:rPr>
                <w:rFonts w:ascii="Arial" w:cs="Arial" w:eastAsia="Arial" w:hAnsi="Arial"/>
                <w:sz w:val="14"/>
                <w:szCs w:val="14"/>
                <w:b w:val="1"/>
                <w:bCs w:val="1"/>
                <w:color w:val="auto"/>
              </w:rPr>
              <w:t>Part 1: Gender Identity</w:t>
            </w:r>
          </w:p>
        </w:tc>
        <w:tc>
          <w:tcPr>
            <w:tcW w:w="1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56"/>
        </w:trPr>
        <w:tc>
          <w:tcPr>
            <w:tcW w:w="3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r>
      <w:tr>
        <w:trPr>
          <w:trHeight w:val="262"/>
        </w:trPr>
        <w:tc>
          <w:tcPr>
            <w:tcW w:w="3500" w:type="dxa"/>
            <w:vAlign w:val="bottom"/>
            <w:shd w:val="clear" w:color="auto" w:fill="F1F2F2"/>
          </w:tcPr>
          <w:p>
            <w:pPr>
              <w:ind w:left="260"/>
              <w:spacing w:after="0"/>
              <w:rPr>
                <w:sz w:val="20"/>
                <w:szCs w:val="20"/>
                <w:color w:val="auto"/>
              </w:rPr>
            </w:pPr>
            <w:r>
              <w:rPr>
                <w:rFonts w:ascii="Arial" w:cs="Arial" w:eastAsia="Arial" w:hAnsi="Arial"/>
                <w:sz w:val="14"/>
                <w:szCs w:val="14"/>
                <w:color w:val="auto"/>
              </w:rPr>
              <w:t>Directors</w:t>
            </w:r>
          </w:p>
        </w:tc>
        <w:tc>
          <w:tcPr>
            <w:tcW w:w="1320" w:type="dxa"/>
            <w:vAlign w:val="bottom"/>
            <w:shd w:val="clear" w:color="auto" w:fill="F1F2F2"/>
          </w:tcPr>
          <w:p>
            <w:pPr>
              <w:jc w:val="center"/>
              <w:ind w:left="128"/>
              <w:spacing w:after="0"/>
              <w:rPr>
                <w:sz w:val="20"/>
                <w:szCs w:val="20"/>
                <w:color w:val="auto"/>
              </w:rPr>
            </w:pPr>
            <w:r>
              <w:rPr>
                <w:rFonts w:ascii="Arial" w:cs="Arial" w:eastAsia="Arial" w:hAnsi="Arial"/>
                <w:sz w:val="14"/>
                <w:szCs w:val="14"/>
                <w:color w:val="auto"/>
              </w:rPr>
              <w:t>2</w:t>
            </w:r>
          </w:p>
        </w:tc>
        <w:tc>
          <w:tcPr>
            <w:tcW w:w="920" w:type="dxa"/>
            <w:vAlign w:val="bottom"/>
            <w:shd w:val="clear" w:color="auto" w:fill="F1F2F2"/>
          </w:tcPr>
          <w:p>
            <w:pPr>
              <w:jc w:val="center"/>
              <w:ind w:left="48"/>
              <w:spacing w:after="0"/>
              <w:rPr>
                <w:sz w:val="20"/>
                <w:szCs w:val="20"/>
                <w:color w:val="auto"/>
              </w:rPr>
            </w:pPr>
            <w:r>
              <w:rPr>
                <w:rFonts w:ascii="Arial" w:cs="Arial" w:eastAsia="Arial" w:hAnsi="Arial"/>
                <w:sz w:val="14"/>
                <w:szCs w:val="14"/>
                <w:color w:val="auto"/>
              </w:rPr>
              <w:t>10</w:t>
            </w:r>
          </w:p>
        </w:tc>
        <w:tc>
          <w:tcPr>
            <w:tcW w:w="120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w w:val="99"/>
              </w:rPr>
              <w:t>—</w:t>
            </w:r>
          </w:p>
        </w:tc>
        <w:tc>
          <w:tcPr>
            <w:tcW w:w="2140" w:type="dxa"/>
            <w:vAlign w:val="bottom"/>
            <w:shd w:val="clear" w:color="auto" w:fill="F1F2F2"/>
          </w:tcPr>
          <w:p>
            <w:pPr>
              <w:jc w:val="center"/>
              <w:ind w:right="8"/>
              <w:spacing w:after="0"/>
              <w:rPr>
                <w:sz w:val="20"/>
                <w:szCs w:val="20"/>
                <w:color w:val="auto"/>
              </w:rPr>
            </w:pPr>
            <w:r>
              <w:rPr>
                <w:rFonts w:ascii="Arial" w:cs="Arial" w:eastAsia="Arial" w:hAnsi="Arial"/>
                <w:sz w:val="14"/>
                <w:szCs w:val="14"/>
                <w:color w:val="auto"/>
                <w:w w:val="99"/>
              </w:rPr>
              <w:t>—</w:t>
            </w:r>
          </w:p>
        </w:tc>
      </w:tr>
      <w:tr>
        <w:trPr>
          <w:trHeight w:val="62"/>
        </w:trPr>
        <w:tc>
          <w:tcPr>
            <w:tcW w:w="3500" w:type="dxa"/>
            <w:vAlign w:val="bottom"/>
            <w:tcBorders>
              <w:bottom w:val="single" w:sz="8" w:color="C43776"/>
            </w:tcBorders>
            <w:shd w:val="clear" w:color="auto" w:fill="F1F2F2"/>
          </w:tcPr>
          <w:p>
            <w:pPr>
              <w:spacing w:after="0"/>
              <w:rPr>
                <w:sz w:val="5"/>
                <w:szCs w:val="5"/>
                <w:color w:val="auto"/>
              </w:rPr>
            </w:pPr>
          </w:p>
        </w:tc>
        <w:tc>
          <w:tcPr>
            <w:tcW w:w="1320" w:type="dxa"/>
            <w:vAlign w:val="bottom"/>
            <w:tcBorders>
              <w:bottom w:val="single" w:sz="8" w:color="C43776"/>
            </w:tcBorders>
            <w:shd w:val="clear" w:color="auto" w:fill="F1F2F2"/>
          </w:tcPr>
          <w:p>
            <w:pPr>
              <w:spacing w:after="0"/>
              <w:rPr>
                <w:sz w:val="5"/>
                <w:szCs w:val="5"/>
                <w:color w:val="auto"/>
              </w:rPr>
            </w:pPr>
          </w:p>
        </w:tc>
        <w:tc>
          <w:tcPr>
            <w:tcW w:w="920" w:type="dxa"/>
            <w:vAlign w:val="bottom"/>
            <w:tcBorders>
              <w:bottom w:val="single" w:sz="8" w:color="C43776"/>
            </w:tcBorders>
            <w:shd w:val="clear" w:color="auto" w:fill="F1F2F2"/>
          </w:tcPr>
          <w:p>
            <w:pPr>
              <w:spacing w:after="0"/>
              <w:rPr>
                <w:sz w:val="5"/>
                <w:szCs w:val="5"/>
                <w:color w:val="auto"/>
              </w:rPr>
            </w:pPr>
          </w:p>
        </w:tc>
        <w:tc>
          <w:tcPr>
            <w:tcW w:w="1200" w:type="dxa"/>
            <w:vAlign w:val="bottom"/>
            <w:tcBorders>
              <w:bottom w:val="single" w:sz="8" w:color="C43776"/>
            </w:tcBorders>
            <w:shd w:val="clear" w:color="auto" w:fill="F1F2F2"/>
          </w:tcPr>
          <w:p>
            <w:pPr>
              <w:spacing w:after="0"/>
              <w:rPr>
                <w:sz w:val="5"/>
                <w:szCs w:val="5"/>
                <w:color w:val="auto"/>
              </w:rPr>
            </w:pPr>
          </w:p>
        </w:tc>
        <w:tc>
          <w:tcPr>
            <w:tcW w:w="2140" w:type="dxa"/>
            <w:vAlign w:val="bottom"/>
            <w:tcBorders>
              <w:bottom w:val="single" w:sz="8" w:color="C43776"/>
            </w:tcBorders>
            <w:shd w:val="clear" w:color="auto" w:fill="F1F2F2"/>
          </w:tcPr>
          <w:p>
            <w:pPr>
              <w:spacing w:after="0"/>
              <w:rPr>
                <w:sz w:val="5"/>
                <w:szCs w:val="5"/>
                <w:color w:val="auto"/>
              </w:rPr>
            </w:pPr>
          </w:p>
        </w:tc>
      </w:tr>
      <w:tr>
        <w:trPr>
          <w:trHeight w:val="248"/>
        </w:trPr>
        <w:tc>
          <w:tcPr>
            <w:tcW w:w="3500" w:type="dxa"/>
            <w:vAlign w:val="bottom"/>
          </w:tcPr>
          <w:p>
            <w:pPr>
              <w:ind w:left="140"/>
              <w:spacing w:after="0"/>
              <w:rPr>
                <w:sz w:val="20"/>
                <w:szCs w:val="20"/>
                <w:color w:val="auto"/>
              </w:rPr>
            </w:pPr>
            <w:r>
              <w:rPr>
                <w:rFonts w:ascii="Arial" w:cs="Arial" w:eastAsia="Arial" w:hAnsi="Arial"/>
                <w:sz w:val="14"/>
                <w:szCs w:val="14"/>
                <w:b w:val="1"/>
                <w:bCs w:val="1"/>
                <w:color w:val="auto"/>
              </w:rPr>
              <w:t>Part 2: Demographic Background</w:t>
            </w: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56"/>
        </w:trPr>
        <w:tc>
          <w:tcPr>
            <w:tcW w:w="3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r>
      <w:tr>
        <w:trPr>
          <w:trHeight w:val="262"/>
        </w:trPr>
        <w:tc>
          <w:tcPr>
            <w:tcW w:w="3500" w:type="dxa"/>
            <w:vAlign w:val="bottom"/>
            <w:shd w:val="clear" w:color="auto" w:fill="F1F2F2"/>
          </w:tcPr>
          <w:p>
            <w:pPr>
              <w:ind w:left="260"/>
              <w:spacing w:after="0"/>
              <w:rPr>
                <w:sz w:val="20"/>
                <w:szCs w:val="20"/>
                <w:color w:val="auto"/>
              </w:rPr>
            </w:pPr>
            <w:r>
              <w:rPr>
                <w:rFonts w:ascii="Arial" w:cs="Arial" w:eastAsia="Arial" w:hAnsi="Arial"/>
                <w:sz w:val="14"/>
                <w:szCs w:val="14"/>
                <w:color w:val="auto"/>
              </w:rPr>
              <w:t>African American or Black</w:t>
            </w:r>
          </w:p>
        </w:tc>
        <w:tc>
          <w:tcPr>
            <w:tcW w:w="1320" w:type="dxa"/>
            <w:vAlign w:val="bottom"/>
            <w:shd w:val="clear" w:color="auto" w:fill="F1F2F2"/>
          </w:tcPr>
          <w:p>
            <w:pPr>
              <w:jc w:val="center"/>
              <w:ind w:left="108"/>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F1F2F2"/>
          </w:tcPr>
          <w:p>
            <w:pPr>
              <w:jc w:val="center"/>
              <w:ind w:left="48"/>
              <w:spacing w:after="0"/>
              <w:rPr>
                <w:sz w:val="20"/>
                <w:szCs w:val="20"/>
                <w:color w:val="auto"/>
              </w:rPr>
            </w:pPr>
            <w:r>
              <w:rPr>
                <w:rFonts w:ascii="Arial" w:cs="Arial" w:eastAsia="Arial" w:hAnsi="Arial"/>
                <w:sz w:val="14"/>
                <w:szCs w:val="14"/>
                <w:color w:val="auto"/>
              </w:rPr>
              <w:t>1</w:t>
            </w:r>
          </w:p>
        </w:tc>
        <w:tc>
          <w:tcPr>
            <w:tcW w:w="120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w w:val="99"/>
              </w:rPr>
              <w:t>—</w:t>
            </w:r>
          </w:p>
        </w:tc>
        <w:tc>
          <w:tcPr>
            <w:tcW w:w="2140" w:type="dxa"/>
            <w:vAlign w:val="bottom"/>
            <w:shd w:val="clear" w:color="auto" w:fill="F1F2F2"/>
          </w:tcPr>
          <w:p>
            <w:pPr>
              <w:jc w:val="center"/>
              <w:ind w:right="8"/>
              <w:spacing w:after="0"/>
              <w:rPr>
                <w:sz w:val="20"/>
                <w:szCs w:val="20"/>
                <w:color w:val="auto"/>
              </w:rPr>
            </w:pPr>
            <w:r>
              <w:rPr>
                <w:rFonts w:ascii="Arial" w:cs="Arial" w:eastAsia="Arial" w:hAnsi="Arial"/>
                <w:sz w:val="14"/>
                <w:szCs w:val="14"/>
                <w:color w:val="auto"/>
                <w:w w:val="99"/>
              </w:rPr>
              <w:t>—</w:t>
            </w:r>
          </w:p>
        </w:tc>
      </w:tr>
      <w:tr>
        <w:trPr>
          <w:trHeight w:val="62"/>
        </w:trPr>
        <w:tc>
          <w:tcPr>
            <w:tcW w:w="3500" w:type="dxa"/>
            <w:vAlign w:val="bottom"/>
            <w:shd w:val="clear" w:color="auto" w:fill="F1F2F2"/>
          </w:tcPr>
          <w:p>
            <w:pPr>
              <w:spacing w:after="0"/>
              <w:rPr>
                <w:sz w:val="5"/>
                <w:szCs w:val="5"/>
                <w:color w:val="auto"/>
              </w:rPr>
            </w:pPr>
          </w:p>
        </w:tc>
        <w:tc>
          <w:tcPr>
            <w:tcW w:w="1320" w:type="dxa"/>
            <w:vAlign w:val="bottom"/>
            <w:shd w:val="clear" w:color="auto" w:fill="F1F2F2"/>
          </w:tcPr>
          <w:p>
            <w:pPr>
              <w:spacing w:after="0"/>
              <w:rPr>
                <w:sz w:val="5"/>
                <w:szCs w:val="5"/>
                <w:color w:val="auto"/>
              </w:rPr>
            </w:pPr>
          </w:p>
        </w:tc>
        <w:tc>
          <w:tcPr>
            <w:tcW w:w="920" w:type="dxa"/>
            <w:vAlign w:val="bottom"/>
            <w:shd w:val="clear" w:color="auto" w:fill="F1F2F2"/>
          </w:tcPr>
          <w:p>
            <w:pPr>
              <w:spacing w:after="0"/>
              <w:rPr>
                <w:sz w:val="5"/>
                <w:szCs w:val="5"/>
                <w:color w:val="auto"/>
              </w:rPr>
            </w:pPr>
          </w:p>
        </w:tc>
        <w:tc>
          <w:tcPr>
            <w:tcW w:w="1200" w:type="dxa"/>
            <w:vAlign w:val="bottom"/>
            <w:shd w:val="clear" w:color="auto" w:fill="F1F2F2"/>
          </w:tcPr>
          <w:p>
            <w:pPr>
              <w:spacing w:after="0"/>
              <w:rPr>
                <w:sz w:val="5"/>
                <w:szCs w:val="5"/>
                <w:color w:val="auto"/>
              </w:rPr>
            </w:pPr>
          </w:p>
        </w:tc>
        <w:tc>
          <w:tcPr>
            <w:tcW w:w="2140" w:type="dxa"/>
            <w:vAlign w:val="bottom"/>
            <w:shd w:val="clear" w:color="auto" w:fill="F1F2F2"/>
          </w:tcPr>
          <w:p>
            <w:pPr>
              <w:spacing w:after="0"/>
              <w:rPr>
                <w:sz w:val="5"/>
                <w:szCs w:val="5"/>
                <w:color w:val="auto"/>
              </w:rPr>
            </w:pPr>
          </w:p>
        </w:tc>
      </w:tr>
      <w:tr>
        <w:trPr>
          <w:trHeight w:val="262"/>
        </w:trPr>
        <w:tc>
          <w:tcPr>
            <w:tcW w:w="3500" w:type="dxa"/>
            <w:vAlign w:val="bottom"/>
          </w:tcPr>
          <w:p>
            <w:pPr>
              <w:ind w:left="260"/>
              <w:spacing w:after="0"/>
              <w:rPr>
                <w:sz w:val="20"/>
                <w:szCs w:val="20"/>
                <w:color w:val="auto"/>
              </w:rPr>
            </w:pPr>
            <w:r>
              <w:rPr>
                <w:rFonts w:ascii="Arial" w:cs="Arial" w:eastAsia="Arial" w:hAnsi="Arial"/>
                <w:sz w:val="14"/>
                <w:szCs w:val="14"/>
                <w:color w:val="auto"/>
              </w:rPr>
              <w:t>Indian</w:t>
            </w:r>
          </w:p>
        </w:tc>
        <w:tc>
          <w:tcPr>
            <w:tcW w:w="1320" w:type="dxa"/>
            <w:vAlign w:val="bottom"/>
          </w:tcPr>
          <w:p>
            <w:pPr>
              <w:jc w:val="center"/>
              <w:ind w:left="108"/>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rPr>
              <w:t>1</w:t>
            </w:r>
          </w:p>
        </w:tc>
        <w:tc>
          <w:tcPr>
            <w:tcW w:w="120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14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r>
      <w:tr>
        <w:trPr>
          <w:trHeight w:val="62"/>
        </w:trPr>
        <w:tc>
          <w:tcPr>
            <w:tcW w:w="35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62"/>
        </w:trPr>
        <w:tc>
          <w:tcPr>
            <w:tcW w:w="3500" w:type="dxa"/>
            <w:vAlign w:val="bottom"/>
            <w:shd w:val="clear" w:color="auto" w:fill="F1F2F2"/>
          </w:tcPr>
          <w:p>
            <w:pPr>
              <w:ind w:left="260"/>
              <w:spacing w:after="0"/>
              <w:rPr>
                <w:sz w:val="20"/>
                <w:szCs w:val="20"/>
                <w:color w:val="auto"/>
              </w:rPr>
            </w:pPr>
            <w:r>
              <w:rPr>
                <w:rFonts w:ascii="Arial" w:cs="Arial" w:eastAsia="Arial" w:hAnsi="Arial"/>
                <w:sz w:val="14"/>
                <w:szCs w:val="14"/>
                <w:color w:val="auto"/>
              </w:rPr>
              <w:t>Hispanic</w:t>
            </w:r>
          </w:p>
        </w:tc>
        <w:tc>
          <w:tcPr>
            <w:tcW w:w="1320" w:type="dxa"/>
            <w:vAlign w:val="bottom"/>
            <w:shd w:val="clear" w:color="auto" w:fill="F1F2F2"/>
          </w:tcPr>
          <w:p>
            <w:pPr>
              <w:jc w:val="center"/>
              <w:ind w:left="128"/>
              <w:spacing w:after="0"/>
              <w:rPr>
                <w:sz w:val="20"/>
                <w:szCs w:val="20"/>
                <w:color w:val="auto"/>
              </w:rPr>
            </w:pPr>
            <w:r>
              <w:rPr>
                <w:rFonts w:ascii="Arial" w:cs="Arial" w:eastAsia="Arial" w:hAnsi="Arial"/>
                <w:sz w:val="14"/>
                <w:szCs w:val="14"/>
                <w:color w:val="auto"/>
              </w:rPr>
              <w:t>1</w:t>
            </w:r>
          </w:p>
        </w:tc>
        <w:tc>
          <w:tcPr>
            <w:tcW w:w="920" w:type="dxa"/>
            <w:vAlign w:val="bottom"/>
            <w:shd w:val="clear" w:color="auto" w:fill="F1F2F2"/>
          </w:tcPr>
          <w:p>
            <w:pPr>
              <w:jc w:val="center"/>
              <w:ind w:left="28"/>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w w:val="99"/>
              </w:rPr>
              <w:t>—</w:t>
            </w:r>
          </w:p>
        </w:tc>
        <w:tc>
          <w:tcPr>
            <w:tcW w:w="2140" w:type="dxa"/>
            <w:vAlign w:val="bottom"/>
            <w:shd w:val="clear" w:color="auto" w:fill="F1F2F2"/>
          </w:tcPr>
          <w:p>
            <w:pPr>
              <w:jc w:val="center"/>
              <w:ind w:right="8"/>
              <w:spacing w:after="0"/>
              <w:rPr>
                <w:sz w:val="20"/>
                <w:szCs w:val="20"/>
                <w:color w:val="auto"/>
              </w:rPr>
            </w:pPr>
            <w:r>
              <w:rPr>
                <w:rFonts w:ascii="Arial" w:cs="Arial" w:eastAsia="Arial" w:hAnsi="Arial"/>
                <w:sz w:val="14"/>
                <w:szCs w:val="14"/>
                <w:color w:val="auto"/>
                <w:w w:val="99"/>
              </w:rPr>
              <w:t>—</w:t>
            </w:r>
          </w:p>
        </w:tc>
      </w:tr>
      <w:tr>
        <w:trPr>
          <w:trHeight w:val="62"/>
        </w:trPr>
        <w:tc>
          <w:tcPr>
            <w:tcW w:w="3500" w:type="dxa"/>
            <w:vAlign w:val="bottom"/>
            <w:shd w:val="clear" w:color="auto" w:fill="F1F2F2"/>
          </w:tcPr>
          <w:p>
            <w:pPr>
              <w:spacing w:after="0"/>
              <w:rPr>
                <w:sz w:val="5"/>
                <w:szCs w:val="5"/>
                <w:color w:val="auto"/>
              </w:rPr>
            </w:pPr>
          </w:p>
        </w:tc>
        <w:tc>
          <w:tcPr>
            <w:tcW w:w="1320" w:type="dxa"/>
            <w:vAlign w:val="bottom"/>
            <w:shd w:val="clear" w:color="auto" w:fill="F1F2F2"/>
          </w:tcPr>
          <w:p>
            <w:pPr>
              <w:spacing w:after="0"/>
              <w:rPr>
                <w:sz w:val="5"/>
                <w:szCs w:val="5"/>
                <w:color w:val="auto"/>
              </w:rPr>
            </w:pPr>
          </w:p>
        </w:tc>
        <w:tc>
          <w:tcPr>
            <w:tcW w:w="920" w:type="dxa"/>
            <w:vAlign w:val="bottom"/>
            <w:shd w:val="clear" w:color="auto" w:fill="F1F2F2"/>
          </w:tcPr>
          <w:p>
            <w:pPr>
              <w:spacing w:after="0"/>
              <w:rPr>
                <w:sz w:val="5"/>
                <w:szCs w:val="5"/>
                <w:color w:val="auto"/>
              </w:rPr>
            </w:pPr>
          </w:p>
        </w:tc>
        <w:tc>
          <w:tcPr>
            <w:tcW w:w="1200" w:type="dxa"/>
            <w:vAlign w:val="bottom"/>
            <w:shd w:val="clear" w:color="auto" w:fill="F1F2F2"/>
          </w:tcPr>
          <w:p>
            <w:pPr>
              <w:spacing w:after="0"/>
              <w:rPr>
                <w:sz w:val="5"/>
                <w:szCs w:val="5"/>
                <w:color w:val="auto"/>
              </w:rPr>
            </w:pPr>
          </w:p>
        </w:tc>
        <w:tc>
          <w:tcPr>
            <w:tcW w:w="2140" w:type="dxa"/>
            <w:vAlign w:val="bottom"/>
            <w:shd w:val="clear" w:color="auto" w:fill="F1F2F2"/>
          </w:tcPr>
          <w:p>
            <w:pPr>
              <w:spacing w:after="0"/>
              <w:rPr>
                <w:sz w:val="5"/>
                <w:szCs w:val="5"/>
                <w:color w:val="auto"/>
              </w:rPr>
            </w:pPr>
          </w:p>
        </w:tc>
      </w:tr>
      <w:tr>
        <w:trPr>
          <w:trHeight w:val="262"/>
        </w:trPr>
        <w:tc>
          <w:tcPr>
            <w:tcW w:w="3500" w:type="dxa"/>
            <w:vAlign w:val="bottom"/>
          </w:tcPr>
          <w:p>
            <w:pPr>
              <w:ind w:left="260"/>
              <w:spacing w:after="0"/>
              <w:rPr>
                <w:sz w:val="20"/>
                <w:szCs w:val="20"/>
                <w:color w:val="auto"/>
              </w:rPr>
            </w:pPr>
            <w:r>
              <w:rPr>
                <w:rFonts w:ascii="Arial" w:cs="Arial" w:eastAsia="Arial" w:hAnsi="Arial"/>
                <w:sz w:val="14"/>
                <w:szCs w:val="14"/>
                <w:color w:val="auto"/>
              </w:rPr>
              <w:t>White</w:t>
            </w:r>
          </w:p>
        </w:tc>
        <w:tc>
          <w:tcPr>
            <w:tcW w:w="1320" w:type="dxa"/>
            <w:vAlign w:val="bottom"/>
          </w:tcPr>
          <w:p>
            <w:pPr>
              <w:jc w:val="center"/>
              <w:ind w:left="128"/>
              <w:spacing w:after="0"/>
              <w:rPr>
                <w:sz w:val="20"/>
                <w:szCs w:val="20"/>
                <w:color w:val="auto"/>
              </w:rPr>
            </w:pPr>
            <w:r>
              <w:rPr>
                <w:rFonts w:ascii="Arial" w:cs="Arial" w:eastAsia="Arial" w:hAnsi="Arial"/>
                <w:sz w:val="14"/>
                <w:szCs w:val="14"/>
                <w:color w:val="auto"/>
              </w:rPr>
              <w:t>1</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rPr>
              <w:t>8</w:t>
            </w:r>
          </w:p>
        </w:tc>
        <w:tc>
          <w:tcPr>
            <w:tcW w:w="120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214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r>
      <w:tr>
        <w:trPr>
          <w:trHeight w:val="62"/>
        </w:trPr>
        <w:tc>
          <w:tcPr>
            <w:tcW w:w="35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62"/>
        </w:trPr>
        <w:tc>
          <w:tcPr>
            <w:tcW w:w="3500" w:type="dxa"/>
            <w:vAlign w:val="bottom"/>
            <w:shd w:val="clear" w:color="auto" w:fill="F1F2F2"/>
          </w:tcPr>
          <w:p>
            <w:pPr>
              <w:ind w:left="260"/>
              <w:spacing w:after="0"/>
              <w:rPr>
                <w:sz w:val="20"/>
                <w:szCs w:val="20"/>
                <w:color w:val="auto"/>
              </w:rPr>
            </w:pPr>
            <w:r>
              <w:rPr>
                <w:rFonts w:ascii="Arial" w:cs="Arial" w:eastAsia="Arial" w:hAnsi="Arial"/>
                <w:sz w:val="14"/>
                <w:szCs w:val="14"/>
                <w:color w:val="auto"/>
              </w:rPr>
              <w:t>LGBTQ+</w:t>
            </w:r>
          </w:p>
        </w:tc>
        <w:tc>
          <w:tcPr>
            <w:tcW w:w="1320" w:type="dxa"/>
            <w:vAlign w:val="bottom"/>
            <w:shd w:val="clear" w:color="auto" w:fill="F1F2F2"/>
          </w:tcPr>
          <w:p>
            <w:pPr>
              <w:spacing w:after="0"/>
              <w:rPr>
                <w:sz w:val="22"/>
                <w:szCs w:val="22"/>
                <w:color w:val="auto"/>
              </w:rPr>
            </w:pPr>
          </w:p>
        </w:tc>
        <w:tc>
          <w:tcPr>
            <w:tcW w:w="920" w:type="dxa"/>
            <w:vAlign w:val="bottom"/>
            <w:shd w:val="clear" w:color="auto" w:fill="F1F2F2"/>
          </w:tcPr>
          <w:p>
            <w:pPr>
              <w:spacing w:after="0"/>
              <w:rPr>
                <w:sz w:val="22"/>
                <w:szCs w:val="22"/>
                <w:color w:val="auto"/>
              </w:rPr>
            </w:pPr>
          </w:p>
        </w:tc>
        <w:tc>
          <w:tcPr>
            <w:tcW w:w="120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w:t>
            </w:r>
          </w:p>
        </w:tc>
        <w:tc>
          <w:tcPr>
            <w:tcW w:w="2140" w:type="dxa"/>
            <w:vAlign w:val="bottom"/>
            <w:shd w:val="clear" w:color="auto" w:fill="F1F2F2"/>
          </w:tcPr>
          <w:p>
            <w:pPr>
              <w:spacing w:after="0"/>
              <w:rPr>
                <w:sz w:val="22"/>
                <w:szCs w:val="22"/>
                <w:color w:val="auto"/>
              </w:rPr>
            </w:pPr>
          </w:p>
        </w:tc>
      </w:tr>
      <w:tr>
        <w:trPr>
          <w:trHeight w:val="62"/>
        </w:trPr>
        <w:tc>
          <w:tcPr>
            <w:tcW w:w="3500" w:type="dxa"/>
            <w:vAlign w:val="bottom"/>
            <w:shd w:val="clear" w:color="auto" w:fill="F1F2F2"/>
          </w:tcPr>
          <w:p>
            <w:pPr>
              <w:spacing w:after="0"/>
              <w:rPr>
                <w:sz w:val="5"/>
                <w:szCs w:val="5"/>
                <w:color w:val="auto"/>
              </w:rPr>
            </w:pPr>
          </w:p>
        </w:tc>
        <w:tc>
          <w:tcPr>
            <w:tcW w:w="1320" w:type="dxa"/>
            <w:vAlign w:val="bottom"/>
            <w:shd w:val="clear" w:color="auto" w:fill="F1F2F2"/>
          </w:tcPr>
          <w:p>
            <w:pPr>
              <w:spacing w:after="0"/>
              <w:rPr>
                <w:sz w:val="5"/>
                <w:szCs w:val="5"/>
                <w:color w:val="auto"/>
              </w:rPr>
            </w:pPr>
          </w:p>
        </w:tc>
        <w:tc>
          <w:tcPr>
            <w:tcW w:w="920" w:type="dxa"/>
            <w:vAlign w:val="bottom"/>
            <w:shd w:val="clear" w:color="auto" w:fill="F1F2F2"/>
          </w:tcPr>
          <w:p>
            <w:pPr>
              <w:spacing w:after="0"/>
              <w:rPr>
                <w:sz w:val="5"/>
                <w:szCs w:val="5"/>
                <w:color w:val="auto"/>
              </w:rPr>
            </w:pPr>
          </w:p>
        </w:tc>
        <w:tc>
          <w:tcPr>
            <w:tcW w:w="1200" w:type="dxa"/>
            <w:vAlign w:val="bottom"/>
            <w:shd w:val="clear" w:color="auto" w:fill="F1F2F2"/>
          </w:tcPr>
          <w:p>
            <w:pPr>
              <w:spacing w:after="0"/>
              <w:rPr>
                <w:sz w:val="5"/>
                <w:szCs w:val="5"/>
                <w:color w:val="auto"/>
              </w:rPr>
            </w:pPr>
          </w:p>
        </w:tc>
        <w:tc>
          <w:tcPr>
            <w:tcW w:w="2140" w:type="dxa"/>
            <w:vAlign w:val="bottom"/>
            <w:shd w:val="clear" w:color="auto" w:fill="F1F2F2"/>
          </w:tcPr>
          <w:p>
            <w:pPr>
              <w:spacing w:after="0"/>
              <w:rPr>
                <w:sz w:val="5"/>
                <w:szCs w:val="5"/>
                <w:color w:val="auto"/>
              </w:rPr>
            </w:pPr>
          </w:p>
        </w:tc>
      </w:tr>
      <w:tr>
        <w:trPr>
          <w:trHeight w:val="262"/>
        </w:trPr>
        <w:tc>
          <w:tcPr>
            <w:tcW w:w="3500" w:type="dxa"/>
            <w:vAlign w:val="bottom"/>
          </w:tcPr>
          <w:p>
            <w:pPr>
              <w:ind w:left="260"/>
              <w:spacing w:after="0"/>
              <w:rPr>
                <w:sz w:val="20"/>
                <w:szCs w:val="20"/>
                <w:color w:val="auto"/>
              </w:rPr>
            </w:pPr>
            <w:r>
              <w:rPr>
                <w:rFonts w:ascii="Arial" w:cs="Arial" w:eastAsia="Arial" w:hAnsi="Arial"/>
                <w:sz w:val="14"/>
                <w:szCs w:val="14"/>
                <w:color w:val="auto"/>
              </w:rPr>
              <w:t>Did Not Disclose Demographic Background</w:t>
            </w:r>
          </w:p>
        </w:tc>
        <w:tc>
          <w:tcPr>
            <w:tcW w:w="1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2140" w:type="dxa"/>
            <w:vAlign w:val="bottom"/>
          </w:tcPr>
          <w:p>
            <w:pPr>
              <w:spacing w:after="0"/>
              <w:rPr>
                <w:sz w:val="22"/>
                <w:szCs w:val="22"/>
                <w:color w:val="auto"/>
              </w:rPr>
            </w:pPr>
          </w:p>
        </w:tc>
      </w:tr>
      <w:tr>
        <w:trPr>
          <w:trHeight w:val="62"/>
        </w:trPr>
        <w:tc>
          <w:tcPr>
            <w:tcW w:w="3500" w:type="dxa"/>
            <w:vAlign w:val="bottom"/>
            <w:tcBorders>
              <w:bottom w:val="single" w:sz="8" w:color="C43776"/>
            </w:tcBorders>
          </w:tcPr>
          <w:p>
            <w:pPr>
              <w:spacing w:after="0"/>
              <w:rPr>
                <w:sz w:val="5"/>
                <w:szCs w:val="5"/>
                <w:color w:val="auto"/>
              </w:rPr>
            </w:pPr>
          </w:p>
        </w:tc>
        <w:tc>
          <w:tcPr>
            <w:tcW w:w="1320" w:type="dxa"/>
            <w:vAlign w:val="bottom"/>
            <w:tcBorders>
              <w:bottom w:val="single" w:sz="8" w:color="C43776"/>
            </w:tcBorders>
          </w:tcPr>
          <w:p>
            <w:pPr>
              <w:spacing w:after="0"/>
              <w:rPr>
                <w:sz w:val="5"/>
                <w:szCs w:val="5"/>
                <w:color w:val="auto"/>
              </w:rPr>
            </w:pPr>
          </w:p>
        </w:tc>
        <w:tc>
          <w:tcPr>
            <w:tcW w:w="920" w:type="dxa"/>
            <w:vAlign w:val="bottom"/>
            <w:tcBorders>
              <w:bottom w:val="single" w:sz="8" w:color="C43776"/>
            </w:tcBorders>
          </w:tcPr>
          <w:p>
            <w:pPr>
              <w:spacing w:after="0"/>
              <w:rPr>
                <w:sz w:val="5"/>
                <w:szCs w:val="5"/>
                <w:color w:val="auto"/>
              </w:rPr>
            </w:pPr>
          </w:p>
        </w:tc>
        <w:tc>
          <w:tcPr>
            <w:tcW w:w="1200" w:type="dxa"/>
            <w:vAlign w:val="bottom"/>
            <w:tcBorders>
              <w:bottom w:val="single" w:sz="8" w:color="C43776"/>
            </w:tcBorders>
          </w:tcPr>
          <w:p>
            <w:pPr>
              <w:spacing w:after="0"/>
              <w:rPr>
                <w:sz w:val="5"/>
                <w:szCs w:val="5"/>
                <w:color w:val="auto"/>
              </w:rPr>
            </w:pPr>
          </w:p>
        </w:tc>
        <w:tc>
          <w:tcPr>
            <w:tcW w:w="2140" w:type="dxa"/>
            <w:vAlign w:val="bottom"/>
            <w:tcBorders>
              <w:bottom w:val="single" w:sz="8" w:color="C43776"/>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080"/>
          </w:cols>
          <w:pgMar w:left="1400" w:top="770" w:right="1419" w:bottom="1440" w:gutter="0" w:footer="0" w:header="0"/>
        </w:sectPr>
      </w:pPr>
    </w:p>
    <w:p>
      <w:pPr>
        <w:spacing w:after="0" w:line="363" w:lineRule="exact"/>
        <w:rPr>
          <w:sz w:val="20"/>
          <w:szCs w:val="20"/>
          <w:color w:val="auto"/>
        </w:rPr>
      </w:pPr>
    </w:p>
    <w:p>
      <w:pPr>
        <w:ind w:left="420" w:hanging="351"/>
        <w:spacing w:after="0"/>
        <w:tabs>
          <w:tab w:leader="none" w:pos="420" w:val="left"/>
        </w:tabs>
        <w:numPr>
          <w:ilvl w:val="0"/>
          <w:numId w:val="12"/>
        </w:numPr>
        <w:rPr>
          <w:rFonts w:ascii="Arial" w:cs="Arial" w:eastAsia="Arial" w:hAnsi="Arial"/>
          <w:sz w:val="13"/>
          <w:szCs w:val="13"/>
          <w:b w:val="1"/>
          <w:bCs w:val="1"/>
          <w:color w:val="2C6EC4"/>
        </w:rPr>
      </w:pPr>
      <w:r>
        <w:rPr>
          <w:rFonts w:ascii="Arial" w:cs="Arial" w:eastAsia="Arial" w:hAnsi="Arial"/>
          <w:sz w:val="12"/>
          <w:szCs w:val="12"/>
          <w:color w:val="auto"/>
        </w:rPr>
        <w:t>2026 Notice of Annual Meeting &amp; Proxy Statement</w:t>
      </w:r>
    </w:p>
    <w:p>
      <w:pPr>
        <w:sectPr>
          <w:pgSz w:w="11900" w:h="16838" w:orient="portrait"/>
          <w:cols w:equalWidth="0" w:num="1">
            <w:col w:w="9080"/>
          </w:cols>
          <w:pgMar w:left="1400" w:top="770" w:right="1419" w:bottom="1440" w:gutter="0" w:footer="0" w:header="0"/>
          <w:type w:val="continuous"/>
        </w:sectPr>
      </w:pPr>
    </w:p>
    <w:bookmarkStart w:id="16" w:name="page17"/>
    <w:bookmarkEnd w:id="16"/>
    <w:p>
      <w:pPr>
        <w:ind w:left="60"/>
        <w:spacing w:after="0"/>
        <w:tabs>
          <w:tab w:leader="none" w:pos="56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03. 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Director Nominees</w:t>
      </w:r>
    </w:p>
    <w:p>
      <w:pPr>
        <w:spacing w:after="0" w:line="159" w:lineRule="exact"/>
        <w:rPr>
          <w:sz w:val="20"/>
          <w:szCs w:val="20"/>
          <w:color w:val="auto"/>
        </w:rPr>
      </w:pPr>
    </w:p>
    <w:p>
      <w:pPr>
        <w:ind w:right="59"/>
        <w:spacing w:after="0" w:line="261" w:lineRule="auto"/>
        <w:rPr>
          <w:sz w:val="20"/>
          <w:szCs w:val="20"/>
          <w:color w:val="auto"/>
        </w:rPr>
      </w:pPr>
      <w:r>
        <w:rPr>
          <w:rFonts w:ascii="Arial" w:cs="Arial" w:eastAsia="Arial" w:hAnsi="Arial"/>
          <w:sz w:val="16"/>
          <w:szCs w:val="16"/>
          <w:color w:val="auto"/>
        </w:rPr>
        <w:t>The nomination and governance committee evaluates the Board’s composition at least annually to determine whether directors’ skills and experiences align with our long-term needs. The committee also takes into consideration the results of the Board’s self-evaluation. Based on its review, the committee determines whether Board refreshment is needed. Then the committee searches for potential candidates, utilizing a variety of sources to help identify nominees who would be valuable assets to our Board. To meet the needs of our Board, the committee seeks to identify candidates possessing the desired qualities, skills and background.</w:t>
      </w:r>
    </w:p>
    <w:p>
      <w:pPr>
        <w:spacing w:after="0" w:line="122" w:lineRule="exact"/>
        <w:rPr>
          <w:sz w:val="20"/>
          <w:szCs w:val="20"/>
          <w:color w:val="auto"/>
        </w:rPr>
      </w:pPr>
    </w:p>
    <w:p>
      <w:pPr>
        <w:ind w:right="139"/>
        <w:spacing w:after="0" w:line="275" w:lineRule="auto"/>
        <w:rPr>
          <w:sz w:val="20"/>
          <w:szCs w:val="20"/>
          <w:color w:val="auto"/>
        </w:rPr>
      </w:pPr>
      <w:r>
        <w:rPr>
          <w:rFonts w:ascii="Arial" w:cs="Arial" w:eastAsia="Arial" w:hAnsi="Arial"/>
          <w:sz w:val="16"/>
          <w:szCs w:val="16"/>
          <w:color w:val="auto"/>
        </w:rPr>
        <w:t>On January 22, 2026, the Board appointed David L. Bunch a director. Mr. Bunch provides over 25 years of global experience in payments, retail, and transport mobility, with a proven track record of operating across highly regulated international markets, and was recommended by the Board Chair.</w:t>
      </w:r>
    </w:p>
    <w:p>
      <w:pPr>
        <w:spacing w:after="0" w:line="110" w:lineRule="exact"/>
        <w:rPr>
          <w:sz w:val="20"/>
          <w:szCs w:val="20"/>
          <w:color w:val="auto"/>
        </w:rPr>
      </w:pPr>
    </w:p>
    <w:p>
      <w:pPr>
        <w:ind w:right="79"/>
        <w:spacing w:after="0" w:line="271" w:lineRule="auto"/>
        <w:rPr>
          <w:sz w:val="20"/>
          <w:szCs w:val="20"/>
          <w:color w:val="auto"/>
        </w:rPr>
      </w:pPr>
      <w:r>
        <w:rPr>
          <w:rFonts w:ascii="Arial" w:cs="Arial" w:eastAsia="Arial" w:hAnsi="Arial"/>
          <w:sz w:val="16"/>
          <w:szCs w:val="16"/>
          <w:color w:val="auto"/>
        </w:rPr>
        <w:t>The Board has selected Mses. Bexiga and Moddelmog and Messrs. Bunch, Clarke, Farrelly, Gupta, Hagerty, Jones, Macchia, Sloan, Stull and Throop as nominees for election to the Board for one-year terms, to be voted upon at the annual meeting by shareholders. If elected, each director nominee will hold office until the next annual meeting and until his or her successor is elected and qualified, or until their earlier resignation, removal or other termination of service.</w:t>
      </w:r>
    </w:p>
    <w:p>
      <w:pPr>
        <w:sectPr>
          <w:pgSz w:w="11900" w:h="16838" w:orient="portrait"/>
          <w:cols w:equalWidth="0" w:num="1">
            <w:col w:w="9059"/>
          </w:cols>
          <w:pgMar w:left="1400" w:top="7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Age: 64</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Director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Age: 55</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Director Since: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Annabelle Bexiga</w:t>
      </w:r>
    </w:p>
    <w:p>
      <w:pPr>
        <w:spacing w:after="0" w:line="284" w:lineRule="exact"/>
        <w:rPr>
          <w:sz w:val="20"/>
          <w:szCs w:val="20"/>
          <w:color w:val="auto"/>
        </w:rPr>
      </w:pPr>
    </w:p>
    <w:p>
      <w:pPr>
        <w:ind w:right="139"/>
        <w:spacing w:after="0" w:line="265" w:lineRule="auto"/>
        <w:rPr>
          <w:sz w:val="20"/>
          <w:szCs w:val="20"/>
          <w:color w:val="auto"/>
        </w:rPr>
      </w:pPr>
      <w:r>
        <w:rPr>
          <w:rFonts w:ascii="Arial" w:cs="Arial" w:eastAsia="Arial" w:hAnsi="Arial"/>
          <w:sz w:val="16"/>
          <w:szCs w:val="16"/>
          <w:color w:val="auto"/>
        </w:rPr>
        <w:t>Featured experience, qualifications and attributes: Prior Chief Information Officer positions at AIG (NYSE: AIG), a multinational finance and insurance corporation, from 2015 to 2017; TIAA, a Fortune 100 financial services organization, from 2010 to 2015; Bain Capital; and JP Morgan Chase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Other board experience (current): StoneX Group Inc. and Quantexa Ltd.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Provides: Substantial expertise in technology and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David L. Bunch</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Featured experience, qualifications and attributes: Global Executive Vice President of Shell</w:t>
      </w:r>
    </w:p>
    <w:p>
      <w:pPr>
        <w:spacing w:after="0" w:line="31" w:lineRule="exact"/>
        <w:rPr>
          <w:sz w:val="20"/>
          <w:szCs w:val="20"/>
          <w:color w:val="auto"/>
        </w:rPr>
      </w:pPr>
    </w:p>
    <w:p>
      <w:pPr>
        <w:ind w:right="179"/>
        <w:spacing w:after="0" w:line="256" w:lineRule="auto"/>
        <w:rPr>
          <w:sz w:val="20"/>
          <w:szCs w:val="20"/>
          <w:color w:val="auto"/>
        </w:rPr>
      </w:pPr>
      <w:r>
        <w:rPr>
          <w:rFonts w:ascii="Arial" w:cs="Arial" w:eastAsia="Arial" w:hAnsi="Arial"/>
          <w:sz w:val="16"/>
          <w:szCs w:val="16"/>
          <w:color w:val="auto"/>
        </w:rPr>
        <w:t>Mobility &amp; Convenience (NYSE: SHEL), one of the world’s largest branded retail mobility and convenience businesses spanning 80 countries, since 2024; has directly managed global business operations, consistently creating value by optimizing expansive retail networks and high-volume consumer payment ecosystems; and an alumnus of the London Business School (MBA) and the INSEAD International Directors Program</w:t>
      </w:r>
    </w:p>
    <w:p>
      <w:pPr>
        <w:spacing w:after="0" w:line="141" w:lineRule="exact"/>
        <w:rPr>
          <w:sz w:val="20"/>
          <w:szCs w:val="20"/>
          <w:color w:val="auto"/>
        </w:rPr>
      </w:pPr>
    </w:p>
    <w:p>
      <w:pPr>
        <w:ind w:right="79"/>
        <w:spacing w:after="0" w:line="266" w:lineRule="auto"/>
        <w:rPr>
          <w:sz w:val="20"/>
          <w:szCs w:val="20"/>
          <w:color w:val="auto"/>
        </w:rPr>
      </w:pPr>
      <w:r>
        <w:rPr>
          <w:rFonts w:ascii="Arial" w:cs="Arial" w:eastAsia="Arial" w:hAnsi="Arial"/>
          <w:sz w:val="16"/>
          <w:szCs w:val="16"/>
          <w:color w:val="auto"/>
        </w:rPr>
        <w:t>Other board experience (prior): Chair of Shell U.K. Ltd (NYSE: SHEL) from 2021 to 2024 and senior non-executive Director within the U.K. Government’s Department of Transport from 2023 to 2025</w:t>
      </w:r>
    </w:p>
    <w:p>
      <w:pPr>
        <w:spacing w:after="0" w:line="131" w:lineRule="exact"/>
        <w:rPr>
          <w:sz w:val="20"/>
          <w:szCs w:val="20"/>
          <w:color w:val="auto"/>
        </w:rPr>
      </w:pPr>
    </w:p>
    <w:p>
      <w:pPr>
        <w:ind w:right="179"/>
        <w:spacing w:after="0" w:line="286" w:lineRule="auto"/>
        <w:rPr>
          <w:sz w:val="20"/>
          <w:szCs w:val="20"/>
          <w:color w:val="auto"/>
        </w:rPr>
      </w:pPr>
      <w:r>
        <w:rPr>
          <w:rFonts w:ascii="Arial" w:cs="Arial" w:eastAsia="Arial" w:hAnsi="Arial"/>
          <w:sz w:val="16"/>
          <w:szCs w:val="16"/>
          <w:color w:val="auto"/>
        </w:rPr>
        <w:t>Provides: Over 25 years of global experience in payments, retail, and transport mobility, with a proven track record of operating across highly regulated international markets</w:t>
      </w:r>
    </w:p>
    <w:p>
      <w:pPr>
        <w:spacing w:after="0" w:line="200" w:lineRule="exact"/>
        <w:rPr>
          <w:sz w:val="20"/>
          <w:szCs w:val="20"/>
          <w:color w:val="auto"/>
        </w:rPr>
      </w:pPr>
    </w:p>
    <w:p>
      <w:pPr>
        <w:sectPr>
          <w:pgSz w:w="11900" w:h="16838" w:orient="portrait"/>
          <w:cols w:equalWidth="0" w:num="2">
            <w:col w:w="1420" w:space="720"/>
            <w:col w:w="6919"/>
          </w:cols>
          <w:pgMar w:left="140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2"/>
          <w:szCs w:val="12"/>
          <w:b w:val="1"/>
          <w:bCs w:val="1"/>
          <w:color w:val="2C6EC4"/>
        </w:rPr>
        <w:t>11</w:t>
      </w:r>
    </w:p>
    <w:p>
      <w:pPr>
        <w:sectPr>
          <w:pgSz w:w="11900" w:h="16838" w:orient="portrait"/>
          <w:cols w:equalWidth="0" w:num="1">
            <w:col w:w="9059"/>
          </w:cols>
          <w:pgMar w:left="1400" w:top="770" w:right="1440" w:bottom="1440" w:gutter="0" w:footer="0" w:header="0"/>
          <w:type w:val="continuous"/>
        </w:sectPr>
      </w:pPr>
    </w:p>
    <w:bookmarkStart w:id="17" w:name="page18"/>
    <w:bookmarkEnd w:id="17"/>
    <w:p>
      <w:pPr>
        <w:ind w:left="20"/>
        <w:spacing w:after="0"/>
        <w:tabs>
          <w:tab w:leader="none" w:pos="800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03. CORPORATE GOVERNANCE AND BOARD MATTERS</w:t>
      </w:r>
      <w:r>
        <w:rPr>
          <w:sz w:val="20"/>
          <w:szCs w:val="20"/>
          <w:color w:val="auto"/>
        </w:rPr>
        <w:tab/>
      </w:r>
      <w:r>
        <w:rPr>
          <w:rFonts w:ascii="Arial" w:cs="Arial" w:eastAsia="Arial" w:hAnsi="Arial"/>
          <w:sz w:val="12"/>
          <w:szCs w:val="12"/>
          <w:color w:val="auto"/>
        </w:rPr>
        <w:t>Table of Contents</w:t>
      </w:r>
    </w:p>
    <w:p>
      <w:pPr>
        <w:sectPr>
          <w:pgSz w:w="11900" w:h="16838" w:orient="portrait"/>
          <w:cols w:equalWidth="0" w:num="1">
            <w:col w:w="9019"/>
          </w:cols>
          <w:pgMar w:left="1440" w:top="7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70</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2000</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Board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Ronald F. Clarke</w:t>
      </w:r>
    </w:p>
    <w:p>
      <w:pPr>
        <w:spacing w:after="0" w:line="284" w:lineRule="exact"/>
        <w:rPr>
          <w:sz w:val="20"/>
          <w:szCs w:val="20"/>
          <w:color w:val="auto"/>
        </w:rPr>
      </w:pPr>
    </w:p>
    <w:p>
      <w:pPr>
        <w:ind w:right="199"/>
        <w:spacing w:after="0" w:line="260" w:lineRule="auto"/>
        <w:rPr>
          <w:sz w:val="20"/>
          <w:szCs w:val="20"/>
          <w:color w:val="auto"/>
        </w:rPr>
      </w:pPr>
      <w:r>
        <w:rPr>
          <w:rFonts w:ascii="Arial" w:cs="Arial" w:eastAsia="Arial" w:hAnsi="Arial"/>
          <w:sz w:val="16"/>
          <w:szCs w:val="16"/>
          <w:color w:val="auto"/>
        </w:rPr>
        <w:t>Featured experience, qualifications and attributes: Company CEO since August 2000; prior President &amp; COO of AHL Services, Inc. a staffing firm; Chief Marketing Officer and Division President of Automatic Data Processing, human resources and payroll services company; Principal with Booz Allen Hamilton, a global management firm; Marketing Manager of General Electric Company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Other board experience (prior): Dayforce, Inc. (formerly NYSE: DAY) from 2018 to 2026</w:t>
      </w:r>
    </w:p>
    <w:p>
      <w:pPr>
        <w:spacing w:after="0" w:line="167" w:lineRule="exact"/>
        <w:rPr>
          <w:sz w:val="20"/>
          <w:szCs w:val="20"/>
          <w:color w:val="auto"/>
        </w:rPr>
      </w:pPr>
    </w:p>
    <w:p>
      <w:pPr>
        <w:ind w:right="539"/>
        <w:spacing w:after="0" w:line="286" w:lineRule="auto"/>
        <w:rPr>
          <w:sz w:val="20"/>
          <w:szCs w:val="20"/>
          <w:color w:val="auto"/>
        </w:rPr>
      </w:pPr>
      <w:r>
        <w:rPr>
          <w:rFonts w:ascii="Arial" w:cs="Arial" w:eastAsia="Arial" w:hAnsi="Arial"/>
          <w:sz w:val="16"/>
          <w:szCs w:val="16"/>
          <w:color w:val="auto"/>
        </w:rPr>
        <w:t>Provides: Deep knowledge of our Company and industry through his service as our Chief Executive Officer</w:t>
      </w:r>
    </w:p>
    <w:p>
      <w:pPr>
        <w:spacing w:after="0" w:line="467" w:lineRule="exact"/>
        <w:rPr>
          <w:sz w:val="20"/>
          <w:szCs w:val="20"/>
          <w:color w:val="auto"/>
        </w:rPr>
      </w:pPr>
    </w:p>
    <w:p>
      <w:pPr>
        <w:sectPr>
          <w:pgSz w:w="11900" w:h="16838" w:orient="portrait"/>
          <w:cols w:equalWidth="0" w:num="2">
            <w:col w:w="1380" w:space="720"/>
            <w:col w:w="6919"/>
          </w:cols>
          <w:pgMar w:left="144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82</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Joseph W. Farrelly</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Featured experience, qualifications and attributes: Former Senior Vice President, Chief</w:t>
      </w:r>
    </w:p>
    <w:p>
      <w:pPr>
        <w:spacing w:after="0" w:line="31" w:lineRule="exact"/>
        <w:rPr>
          <w:sz w:val="20"/>
          <w:szCs w:val="20"/>
          <w:color w:val="auto"/>
        </w:rPr>
      </w:pPr>
    </w:p>
    <w:p>
      <w:pPr>
        <w:ind w:right="19"/>
        <w:spacing w:after="0" w:line="258" w:lineRule="auto"/>
        <w:rPr>
          <w:sz w:val="20"/>
          <w:szCs w:val="20"/>
          <w:color w:val="auto"/>
        </w:rPr>
      </w:pPr>
      <w:r>
        <w:rPr>
          <w:rFonts w:ascii="Arial" w:cs="Arial" w:eastAsia="Arial" w:hAnsi="Arial"/>
          <w:sz w:val="16"/>
          <w:szCs w:val="16"/>
          <w:color w:val="auto"/>
        </w:rPr>
        <w:t>Information Officer of Interpublic Group of Companies, Inc. (NYSE: IPG), a global provider of advertising and marketing services, from 2006 to 2015; prior Executive Vice President and Chief Information Officer at Aventis, Vivendi Universal, Joseph E. Seagrams and Nabisco</w:t>
      </w:r>
    </w:p>
    <w:p>
      <w:pPr>
        <w:spacing w:after="0" w:line="137" w:lineRule="exact"/>
        <w:rPr>
          <w:sz w:val="20"/>
          <w:szCs w:val="20"/>
          <w:color w:val="auto"/>
        </w:rPr>
      </w:pPr>
    </w:p>
    <w:p>
      <w:pPr>
        <w:ind w:right="159"/>
        <w:spacing w:after="0" w:line="286" w:lineRule="auto"/>
        <w:rPr>
          <w:sz w:val="20"/>
          <w:szCs w:val="20"/>
          <w:color w:val="auto"/>
        </w:rPr>
      </w:pPr>
      <w:r>
        <w:rPr>
          <w:rFonts w:ascii="Arial" w:cs="Arial" w:eastAsia="Arial" w:hAnsi="Arial"/>
          <w:sz w:val="16"/>
          <w:szCs w:val="16"/>
          <w:color w:val="auto"/>
        </w:rPr>
        <w:t>Other board experience (prior): Helium, GridApps and Aperture Technologies, Inc., all of which were acquired by larger companies in their respective industries, and NetNumber Inc.</w:t>
      </w:r>
    </w:p>
    <w:p>
      <w:pPr>
        <w:spacing w:after="0" w:line="115" w:lineRule="exact"/>
        <w:rPr>
          <w:sz w:val="20"/>
          <w:szCs w:val="20"/>
          <w:color w:val="auto"/>
        </w:rPr>
      </w:pPr>
    </w:p>
    <w:p>
      <w:pPr>
        <w:ind w:right="59"/>
        <w:spacing w:after="0" w:line="286" w:lineRule="auto"/>
        <w:rPr>
          <w:sz w:val="20"/>
          <w:szCs w:val="20"/>
          <w:color w:val="auto"/>
        </w:rPr>
      </w:pPr>
      <w:r>
        <w:rPr>
          <w:rFonts w:ascii="Arial" w:cs="Arial" w:eastAsia="Arial" w:hAnsi="Arial"/>
          <w:sz w:val="16"/>
          <w:szCs w:val="16"/>
          <w:color w:val="auto"/>
        </w:rPr>
        <w:t>Provides: Substantial experience and knowledge regarding information technology and security; experience in advertising and marketing</w:t>
      </w:r>
    </w:p>
    <w:p>
      <w:pPr>
        <w:spacing w:after="0" w:line="292" w:lineRule="exact"/>
        <w:rPr>
          <w:sz w:val="20"/>
          <w:szCs w:val="20"/>
          <w:color w:val="auto"/>
        </w:rPr>
      </w:pPr>
    </w:p>
    <w:p>
      <w:pPr>
        <w:sectPr>
          <w:pgSz w:w="11900" w:h="16838" w:orient="portrait"/>
          <w:cols w:equalWidth="0" w:num="2">
            <w:col w:w="1380" w:space="720"/>
            <w:col w:w="6919"/>
          </w:cols>
          <w:pgMar w:left="144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66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Rahul Gupta</w:t>
      </w:r>
    </w:p>
    <w:p>
      <w:pPr>
        <w:spacing w:after="0" w:line="284" w:lineRule="exact"/>
        <w:rPr>
          <w:sz w:val="20"/>
          <w:szCs w:val="20"/>
          <w:color w:val="auto"/>
        </w:rPr>
      </w:pPr>
    </w:p>
    <w:p>
      <w:pPr>
        <w:ind w:right="99"/>
        <w:spacing w:after="0" w:line="261" w:lineRule="auto"/>
        <w:rPr>
          <w:sz w:val="20"/>
          <w:szCs w:val="20"/>
          <w:color w:val="auto"/>
        </w:rPr>
      </w:pPr>
      <w:r>
        <w:rPr>
          <w:rFonts w:ascii="Arial" w:cs="Arial" w:eastAsia="Arial" w:hAnsi="Arial"/>
          <w:sz w:val="16"/>
          <w:szCs w:val="16"/>
          <w:color w:val="auto"/>
        </w:rPr>
        <w:t>Featured experience, qualifications and attributes: Prior executive positions as CEO of RevSpring, a healthcare billing and payments company from 2017 to 2019; as Group President for Fiserv (NASDAQ: FISV) from 2006 to 2017 and as President for eFunds (NYSE: EFD) from 2002 to 2006. In addition, Mr. Gupta has launched several startup companies in the payments and marketing spaces, built technology businesses for Fidelity Investments, and served numerous consulting clients for PricewaterhouseCoopers (PwC)</w:t>
      </w:r>
    </w:p>
    <w:p>
      <w:pPr>
        <w:spacing w:after="0" w:line="122" w:lineRule="exact"/>
        <w:rPr>
          <w:sz w:val="20"/>
          <w:szCs w:val="20"/>
          <w:color w:val="auto"/>
        </w:rPr>
      </w:pPr>
    </w:p>
    <w:p>
      <w:pPr>
        <w:ind w:right="199"/>
        <w:spacing w:after="0" w:line="304" w:lineRule="auto"/>
        <w:rPr>
          <w:sz w:val="20"/>
          <w:szCs w:val="20"/>
          <w:color w:val="auto"/>
        </w:rPr>
      </w:pPr>
      <w:r>
        <w:rPr>
          <w:rFonts w:ascii="Arial" w:cs="Arial" w:eastAsia="Arial" w:hAnsi="Arial"/>
          <w:sz w:val="16"/>
          <w:szCs w:val="16"/>
          <w:color w:val="auto"/>
        </w:rPr>
        <w:t>Other board experience (current): Mitek (NASDAQ: MITK), Avant Inc., SavvyMoney, Solutions By Text, and Capital Good Fund</w:t>
      </w:r>
    </w:p>
    <w:p>
      <w:pPr>
        <w:spacing w:after="0" w:line="87" w:lineRule="exact"/>
        <w:rPr>
          <w:sz w:val="20"/>
          <w:szCs w:val="20"/>
          <w:color w:val="auto"/>
        </w:rPr>
      </w:pPr>
    </w:p>
    <w:p>
      <w:pPr>
        <w:ind w:right="159"/>
        <w:spacing w:after="0" w:line="286" w:lineRule="auto"/>
        <w:rPr>
          <w:sz w:val="20"/>
          <w:szCs w:val="20"/>
          <w:color w:val="auto"/>
        </w:rPr>
      </w:pPr>
      <w:r>
        <w:rPr>
          <w:rFonts w:ascii="Arial" w:cs="Arial" w:eastAsia="Arial" w:hAnsi="Arial"/>
          <w:sz w:val="16"/>
          <w:szCs w:val="16"/>
          <w:color w:val="auto"/>
        </w:rPr>
        <w:t>Other board experience (prior): Cardtronics plc (formerly NASDAQ: CATM) from 2020 to 2021; Paylease, LLC from 2019 to 2021, and Ncontracts from 2018 to 2020</w:t>
      </w:r>
    </w:p>
    <w:p>
      <w:pPr>
        <w:spacing w:after="0" w:line="115" w:lineRule="exact"/>
        <w:rPr>
          <w:sz w:val="20"/>
          <w:szCs w:val="20"/>
          <w:color w:val="auto"/>
        </w:rPr>
      </w:pPr>
    </w:p>
    <w:p>
      <w:pPr>
        <w:ind w:right="319"/>
        <w:spacing w:after="0" w:line="286" w:lineRule="auto"/>
        <w:rPr>
          <w:sz w:val="20"/>
          <w:szCs w:val="20"/>
          <w:color w:val="auto"/>
        </w:rPr>
      </w:pPr>
      <w:r>
        <w:rPr>
          <w:rFonts w:ascii="Arial" w:cs="Arial" w:eastAsia="Arial" w:hAnsi="Arial"/>
          <w:sz w:val="16"/>
          <w:szCs w:val="16"/>
          <w:color w:val="auto"/>
        </w:rPr>
        <w:t>Provides: Over 39 years of experience in the financial services and payments industries and significant experience in fintech venture and private equity</w:t>
      </w:r>
    </w:p>
    <w:p>
      <w:pPr>
        <w:spacing w:after="0" w:line="200" w:lineRule="exact"/>
        <w:rPr>
          <w:sz w:val="20"/>
          <w:szCs w:val="20"/>
          <w:color w:val="auto"/>
        </w:rPr>
      </w:pPr>
    </w:p>
    <w:p>
      <w:pPr>
        <w:sectPr>
          <w:pgSz w:w="11900" w:h="16838" w:orient="portrait"/>
          <w:cols w:equalWidth="0" w:num="2">
            <w:col w:w="1380" w:space="720"/>
            <w:col w:w="6919"/>
          </w:cols>
          <w:pgMar w:left="144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hanging="351"/>
        <w:spacing w:after="0"/>
        <w:tabs>
          <w:tab w:leader="none" w:pos="380" w:val="left"/>
        </w:tabs>
        <w:numPr>
          <w:ilvl w:val="0"/>
          <w:numId w:val="13"/>
        </w:numPr>
        <w:rPr>
          <w:rFonts w:ascii="Arial" w:cs="Arial" w:eastAsia="Arial" w:hAnsi="Arial"/>
          <w:sz w:val="13"/>
          <w:szCs w:val="13"/>
          <w:b w:val="1"/>
          <w:bCs w:val="1"/>
          <w:color w:val="2C6EC4"/>
        </w:rPr>
      </w:pPr>
      <w:r>
        <w:rPr>
          <w:rFonts w:ascii="Arial" w:cs="Arial" w:eastAsia="Arial" w:hAnsi="Arial"/>
          <w:sz w:val="12"/>
          <w:szCs w:val="12"/>
          <w:color w:val="auto"/>
        </w:rPr>
        <w:t>2026 Notice of Annual Meeting &amp; Proxy Statement</w:t>
      </w:r>
    </w:p>
    <w:p>
      <w:pPr>
        <w:sectPr>
          <w:pgSz w:w="11900" w:h="16838" w:orient="portrait"/>
          <w:cols w:equalWidth="0" w:num="1">
            <w:col w:w="9019"/>
          </w:cols>
          <w:pgMar w:left="1440" w:top="770" w:right="1440" w:bottom="1440" w:gutter="0" w:footer="0" w:header="0"/>
          <w:type w:val="continuous"/>
        </w:sectPr>
      </w:pPr>
    </w:p>
    <w:bookmarkStart w:id="18" w:name="page19"/>
    <w:bookmarkEnd w:id="18"/>
    <w:p>
      <w:pPr>
        <w:ind w:left="20"/>
        <w:spacing w:after="0"/>
        <w:tabs>
          <w:tab w:leader="none" w:pos="55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03. CORPORATE GOVERNANCE AND BOARD MATTERS</w:t>
      </w:r>
    </w:p>
    <w:p>
      <w:pPr>
        <w:sectPr>
          <w:pgSz w:w="11900" w:h="16838" w:orient="portrait"/>
          <w:cols w:equalWidth="0" w:num="1">
            <w:col w:w="9019"/>
          </w:cols>
          <w:pgMar w:left="1440" w:top="7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63</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Thomas M. Hagerty</w:t>
      </w:r>
    </w:p>
    <w:p>
      <w:pPr>
        <w:spacing w:after="0" w:line="284" w:lineRule="exact"/>
        <w:rPr>
          <w:sz w:val="20"/>
          <w:szCs w:val="20"/>
          <w:color w:val="auto"/>
        </w:rPr>
      </w:pPr>
    </w:p>
    <w:p>
      <w:pPr>
        <w:ind w:right="619"/>
        <w:spacing w:after="0" w:line="286" w:lineRule="auto"/>
        <w:rPr>
          <w:sz w:val="20"/>
          <w:szCs w:val="20"/>
          <w:color w:val="auto"/>
        </w:rPr>
      </w:pPr>
      <w:r>
        <w:rPr>
          <w:rFonts w:ascii="Arial" w:cs="Arial" w:eastAsia="Arial" w:hAnsi="Arial"/>
          <w:sz w:val="16"/>
          <w:szCs w:val="16"/>
          <w:color w:val="auto"/>
        </w:rPr>
        <w:t>Featured experience, qualifications and attributes: Managing Director of Thomas H. Lee Partners, L.P., a leading private equity firm, since 1994</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Other board experience (current): Fidelity National Financial, Inc. (NYSE: FNF) and Dun &amp;</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Bradstreet Holdings, Inc. (NYSE: DNB)</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Other board experience (prior): Dayforce, Inc. (formerly NYSE: DAY)</w:t>
      </w:r>
    </w:p>
    <w:p>
      <w:pPr>
        <w:spacing w:after="0" w:line="181" w:lineRule="exact"/>
        <w:rPr>
          <w:sz w:val="20"/>
          <w:szCs w:val="20"/>
          <w:color w:val="auto"/>
        </w:rPr>
      </w:pPr>
    </w:p>
    <w:p>
      <w:pPr>
        <w:ind w:right="59"/>
        <w:spacing w:after="0" w:line="266" w:lineRule="auto"/>
        <w:rPr>
          <w:sz w:val="20"/>
          <w:szCs w:val="20"/>
          <w:color w:val="auto"/>
        </w:rPr>
      </w:pPr>
      <w:r>
        <w:rPr>
          <w:rFonts w:ascii="Arial" w:cs="Arial" w:eastAsia="Arial" w:hAnsi="Arial"/>
          <w:sz w:val="16"/>
          <w:szCs w:val="16"/>
          <w:color w:val="auto"/>
        </w:rPr>
        <w:t>Provides: Managerial and strategic expertise developed by working with and enhancing value at large, growth-oriented companies; expertise in corporate finance; substantial public company board experience</w:t>
      </w:r>
    </w:p>
    <w:p>
      <w:pPr>
        <w:spacing w:after="0" w:line="200" w:lineRule="exact"/>
        <w:rPr>
          <w:sz w:val="20"/>
          <w:szCs w:val="20"/>
          <w:color w:val="auto"/>
        </w:rPr>
      </w:pPr>
    </w:p>
    <w:p>
      <w:pPr>
        <w:sectPr>
          <w:pgSz w:w="11900" w:h="16838" w:orient="portrait"/>
          <w:cols w:equalWidth="0" w:num="2">
            <w:col w:w="1380" w:space="720"/>
            <w:col w:w="6919"/>
          </w:cols>
          <w:pgMar w:left="144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54</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Archie L. Jones, Jr.</w:t>
      </w:r>
    </w:p>
    <w:p>
      <w:pPr>
        <w:spacing w:after="0" w:line="270" w:lineRule="exact"/>
        <w:rPr>
          <w:sz w:val="20"/>
          <w:szCs w:val="20"/>
          <w:color w:val="auto"/>
        </w:rPr>
      </w:pPr>
    </w:p>
    <w:p>
      <w:pPr>
        <w:ind w:right="59"/>
        <w:spacing w:after="0" w:line="265" w:lineRule="auto"/>
        <w:rPr>
          <w:sz w:val="20"/>
          <w:szCs w:val="20"/>
          <w:color w:val="auto"/>
        </w:rPr>
      </w:pPr>
      <w:r>
        <w:rPr>
          <w:rFonts w:ascii="Arial" w:cs="Arial" w:eastAsia="Arial" w:hAnsi="Arial"/>
          <w:sz w:val="16"/>
          <w:szCs w:val="16"/>
          <w:color w:val="auto"/>
        </w:rPr>
        <w:t>Featured experience, qualifications and attributes: Professor at Harvard Business School, the graduate business school of Harvard University, since 2020; prior executive positions at private equity, public and private companies including NOWaccount Network Corporation, IBM, Kenexa (NYSE: KNXA) and Parthenon Capital; Certified Public Accountant and graduate of Morehouse College and Harvard Business School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Other board experience (current): National Association of Corporate Directors - Atlanta chapter</w:t>
      </w:r>
    </w:p>
    <w:p>
      <w:pPr>
        <w:spacing w:after="0" w:line="181" w:lineRule="exact"/>
        <w:rPr>
          <w:sz w:val="20"/>
          <w:szCs w:val="20"/>
          <w:color w:val="auto"/>
        </w:rPr>
      </w:pPr>
    </w:p>
    <w:p>
      <w:pPr>
        <w:ind w:right="219"/>
        <w:spacing w:after="0" w:line="286" w:lineRule="auto"/>
        <w:rPr>
          <w:sz w:val="20"/>
          <w:szCs w:val="20"/>
          <w:color w:val="auto"/>
        </w:rPr>
      </w:pPr>
      <w:r>
        <w:rPr>
          <w:rFonts w:ascii="Arial" w:cs="Arial" w:eastAsia="Arial" w:hAnsi="Arial"/>
          <w:sz w:val="16"/>
          <w:szCs w:val="16"/>
          <w:color w:val="auto"/>
        </w:rPr>
        <w:t>Provides: Deep investment and mergers and acquisitions expertise in the financial institutions industry</w:t>
      </w:r>
    </w:p>
    <w:p>
      <w:pPr>
        <w:spacing w:after="0" w:line="292" w:lineRule="exact"/>
        <w:rPr>
          <w:sz w:val="20"/>
          <w:szCs w:val="20"/>
          <w:color w:val="auto"/>
        </w:rPr>
      </w:pPr>
    </w:p>
    <w:p>
      <w:pPr>
        <w:sectPr>
          <w:pgSz w:w="11900" w:h="16838" w:orient="portrait"/>
          <w:cols w:equalWidth="0" w:num="2">
            <w:col w:w="1380" w:space="720"/>
            <w:col w:w="6919"/>
          </w:cols>
          <w:pgMar w:left="144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74</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Richard Macchia</w:t>
      </w:r>
    </w:p>
    <w:p>
      <w:pPr>
        <w:spacing w:after="0" w:line="284" w:lineRule="exact"/>
        <w:rPr>
          <w:sz w:val="20"/>
          <w:szCs w:val="20"/>
          <w:color w:val="auto"/>
        </w:rPr>
      </w:pPr>
    </w:p>
    <w:p>
      <w:pPr>
        <w:ind w:right="19"/>
        <w:spacing w:after="0" w:line="259" w:lineRule="auto"/>
        <w:rPr>
          <w:sz w:val="20"/>
          <w:szCs w:val="20"/>
          <w:color w:val="auto"/>
        </w:rPr>
      </w:pPr>
      <w:r>
        <w:rPr>
          <w:rFonts w:ascii="Arial" w:cs="Arial" w:eastAsia="Arial" w:hAnsi="Arial"/>
          <w:sz w:val="16"/>
          <w:szCs w:val="16"/>
          <w:color w:val="auto"/>
        </w:rPr>
        <w:t>Featured experience, qualifications and attributes: Former Chief Financial Officer and Senior Vice President of Administration for Internet Security Systems, Inc., an information security provider, from 1997 through 2006, when it was acquired by International Business Machines Corporation; senior executive roles, including as principal financial officer and accounting officer, with several public companies, including with MicroBilt Corporation, a financial information services company, and First Financial Management Corporation, a company providing credit card authorization, processing and settlement services and other enterprise solutions; Partner in the audit and assurance practice of KPMG</w:t>
      </w:r>
    </w:p>
    <w:p>
      <w:pPr>
        <w:spacing w:after="0" w:line="126" w:lineRule="exact"/>
        <w:rPr>
          <w:sz w:val="20"/>
          <w:szCs w:val="20"/>
          <w:color w:val="auto"/>
        </w:rPr>
      </w:pPr>
    </w:p>
    <w:p>
      <w:pPr>
        <w:ind w:right="339"/>
        <w:spacing w:after="0" w:line="286" w:lineRule="auto"/>
        <w:rPr>
          <w:sz w:val="20"/>
          <w:szCs w:val="20"/>
          <w:color w:val="auto"/>
        </w:rPr>
      </w:pPr>
      <w:r>
        <w:rPr>
          <w:rFonts w:ascii="Arial" w:cs="Arial" w:eastAsia="Arial" w:hAnsi="Arial"/>
          <w:sz w:val="16"/>
          <w:szCs w:val="16"/>
          <w:color w:val="auto"/>
        </w:rPr>
        <w:t>Provides: Over 20 years of experience in the financial and information services industry and significant audit and accounting background</w:t>
      </w:r>
    </w:p>
    <w:p>
      <w:pPr>
        <w:spacing w:after="0" w:line="200" w:lineRule="exact"/>
        <w:rPr>
          <w:sz w:val="20"/>
          <w:szCs w:val="20"/>
          <w:color w:val="auto"/>
        </w:rPr>
      </w:pPr>
    </w:p>
    <w:p>
      <w:pPr>
        <w:sectPr>
          <w:pgSz w:w="11900" w:h="16838" w:orient="portrait"/>
          <w:cols w:equalWidth="0" w:num="2">
            <w:col w:w="1380" w:space="720"/>
            <w:col w:w="6919"/>
          </w:cols>
          <w:pgMar w:left="1440" w:top="7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820"/>
        <w:spacing w:after="0"/>
        <w:tabs>
          <w:tab w:leader="none" w:pos="882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13</w:t>
      </w:r>
    </w:p>
    <w:p>
      <w:pPr>
        <w:sectPr>
          <w:pgSz w:w="11900" w:h="16838" w:orient="portrait"/>
          <w:cols w:equalWidth="0" w:num="1">
            <w:col w:w="9019"/>
          </w:cols>
          <w:pgMar w:left="1440" w:top="770" w:right="1440" w:bottom="1440" w:gutter="0" w:footer="0" w:header="0"/>
          <w:type w:val="continuous"/>
        </w:sectPr>
      </w:pPr>
    </w:p>
    <w:bookmarkStart w:id="19" w:name="page20"/>
    <w:bookmarkEnd w:id="19"/>
    <w:p>
      <w:pPr>
        <w:ind w:left="20"/>
        <w:spacing w:after="0"/>
        <w:tabs>
          <w:tab w:leader="none" w:pos="800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03. CORPORATE GOVERNANCE AND BOARD MATTERS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CF1D4C"/>
        </w:rPr>
        <w:t>Hala G. Moddelmog</w:t>
      </w:r>
    </w:p>
    <w:p>
      <w:pPr>
        <w:spacing w:after="0" w:line="284" w:lineRule="exact"/>
        <w:rPr>
          <w:sz w:val="20"/>
          <w:szCs w:val="20"/>
          <w:color w:val="auto"/>
        </w:rPr>
      </w:pPr>
    </w:p>
    <w:p>
      <w:pPr>
        <w:ind w:left="2100" w:right="19"/>
        <w:spacing w:after="0" w:line="243" w:lineRule="auto"/>
        <w:rPr>
          <w:sz w:val="20"/>
          <w:szCs w:val="20"/>
          <w:color w:val="auto"/>
        </w:rPr>
      </w:pPr>
      <w:r>
        <w:rPr>
          <w:rFonts w:ascii="Arial" w:cs="Arial" w:eastAsia="Arial" w:hAnsi="Arial"/>
          <w:sz w:val="16"/>
          <w:szCs w:val="16"/>
          <w:color w:val="auto"/>
        </w:rPr>
        <w:t>Featured experience, qualifications and attributes: President &amp; CEO of the Woodruff Arts Center since 2020, which enriches the lives of more than 800,000 patrons annually, including more than 170,000 students and teachers, making the Woodruff Arts Center the largest arts educator in the state of Georgia; prior President &amp; CEO of the Metro Atlanta Chamber of Commerce; prior President of Arby’s Restaurant Group, Inc., a division of Wendy’s/Arby’s Group, Inc. (NYSE: WEN); prior President &amp; CEO of Susan G. Komen for the Cure, the world’s largest breast cancer organization; CEO of Catalytic Ventures, LLC, a business that evaluated investment opportunities in foodservice, franchising and multi-unit retail; and prior President of Church’s Chicken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70</w:t>
      </w:r>
    </w:p>
    <w:p>
      <w:pPr>
        <w:spacing w:after="0" w:line="12" w:lineRule="exact"/>
        <w:rPr>
          <w:sz w:val="20"/>
          <w:szCs w:val="20"/>
          <w:color w:val="auto"/>
        </w:rPr>
      </w:pPr>
    </w:p>
    <w:p>
      <w:pPr>
        <w:ind w:left="2100" w:right="459" w:hanging="2078"/>
        <w:spacing w:after="0" w:line="265" w:lineRule="auto"/>
        <w:tabs>
          <w:tab w:leader="none" w:pos="2080" w:val="left"/>
        </w:tabs>
        <w:rPr>
          <w:sz w:val="20"/>
          <w:szCs w:val="20"/>
          <w:color w:val="auto"/>
        </w:rPr>
      </w:pPr>
      <w:r>
        <w:rPr>
          <w:rFonts w:ascii="Arial" w:cs="Arial" w:eastAsia="Arial" w:hAnsi="Arial"/>
          <w:sz w:val="14"/>
          <w:szCs w:val="14"/>
          <w:i w:val="1"/>
          <w:iCs w:val="1"/>
          <w:color w:val="auto"/>
        </w:rPr>
        <w:t>Director Since: 2017</w:t>
      </w:r>
      <w:r>
        <w:rPr>
          <w:sz w:val="20"/>
          <w:szCs w:val="20"/>
          <w:color w:val="auto"/>
        </w:rPr>
        <w:tab/>
      </w:r>
      <w:r>
        <w:rPr>
          <w:rFonts w:ascii="Arial" w:cs="Arial" w:eastAsia="Arial" w:hAnsi="Arial"/>
          <w:sz w:val="16"/>
          <w:szCs w:val="16"/>
          <w:color w:val="auto"/>
        </w:rPr>
        <w:t>Other board experience (current): Lamb Weston Holdings, Inc. (NYSE: LW), Woodruff Arts Center, and Children’s Healthcare of Atlanta</w:t>
      </w:r>
    </w:p>
    <w:p>
      <w:pPr>
        <w:spacing w:after="0" w:line="104" w:lineRule="exact"/>
        <w:rPr>
          <w:sz w:val="20"/>
          <w:szCs w:val="20"/>
          <w:color w:val="auto"/>
        </w:rPr>
      </w:pPr>
    </w:p>
    <w:p>
      <w:pPr>
        <w:jc w:val="both"/>
        <w:ind w:left="2100" w:right="59"/>
        <w:spacing w:after="0" w:line="266" w:lineRule="auto"/>
        <w:rPr>
          <w:sz w:val="20"/>
          <w:szCs w:val="20"/>
          <w:color w:val="auto"/>
        </w:rPr>
      </w:pPr>
      <w:r>
        <w:rPr>
          <w:rFonts w:ascii="Arial" w:cs="Arial" w:eastAsia="Arial" w:hAnsi="Arial"/>
          <w:sz w:val="16"/>
          <w:szCs w:val="16"/>
          <w:color w:val="auto"/>
        </w:rPr>
        <w:t>Other board experience (prior): Amerigroup Corporation (NYSE: AGP) from 2009 to 2012; AMN Healthcare Services, Inc. (NYSE: AHS) from 2008 to 2010 and a number of non-profit boards of directors</w:t>
      </w:r>
    </w:p>
    <w:p>
      <w:pPr>
        <w:spacing w:after="0" w:line="117" w:lineRule="exact"/>
        <w:rPr>
          <w:sz w:val="20"/>
          <w:szCs w:val="20"/>
          <w:color w:val="auto"/>
        </w:rPr>
      </w:pPr>
    </w:p>
    <w:p>
      <w:pPr>
        <w:ind w:left="2100" w:right="319"/>
        <w:spacing w:after="0" w:line="257" w:lineRule="auto"/>
        <w:rPr>
          <w:sz w:val="20"/>
          <w:szCs w:val="20"/>
          <w:color w:val="auto"/>
        </w:rPr>
      </w:pPr>
      <w:r>
        <w:rPr>
          <w:rFonts w:ascii="Arial" w:cs="Arial" w:eastAsia="Arial" w:hAnsi="Arial"/>
          <w:sz w:val="16"/>
          <w:szCs w:val="16"/>
          <w:color w:val="auto"/>
        </w:rPr>
        <w:t>Provides: Over 20 years leading and enhancing value at high-growth companies including through M&amp;A; expertise in marketing; experience as an executive of large public companies; community ties and extensive board experience</w:t>
      </w:r>
    </w:p>
    <w:p>
      <w:pPr>
        <w:sectPr>
          <w:pgSz w:w="11900" w:h="16838" w:orient="portrait"/>
          <w:cols w:equalWidth="0" w:num="1">
            <w:col w:w="9019"/>
          </w:cols>
          <w:pgMar w:left="144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58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CF1D4C"/>
        </w:rPr>
        <w:t>Jeffrey S. Sloan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Featured experience, qualifications and attributes: Former CEO of Global Payments Inc.</w:t>
      </w:r>
    </w:p>
    <w:p>
      <w:pPr>
        <w:spacing w:after="0" w:line="31" w:lineRule="exact"/>
        <w:rPr>
          <w:sz w:val="20"/>
          <w:szCs w:val="20"/>
          <w:color w:val="auto"/>
        </w:rPr>
      </w:pPr>
    </w:p>
    <w:p>
      <w:pPr>
        <w:jc w:val="both"/>
        <w:ind w:right="119"/>
        <w:spacing w:after="0" w:line="258" w:lineRule="auto"/>
        <w:rPr>
          <w:sz w:val="20"/>
          <w:szCs w:val="20"/>
          <w:color w:val="auto"/>
        </w:rPr>
      </w:pPr>
      <w:r>
        <w:rPr>
          <w:rFonts w:ascii="Arial" w:cs="Arial" w:eastAsia="Arial" w:hAnsi="Arial"/>
          <w:sz w:val="16"/>
          <w:szCs w:val="16"/>
          <w:color w:val="auto"/>
        </w:rPr>
        <w:t>(NYSE: GPN), a leading international payments technology company, from 2013 through 2023; prior executive positions with Goldman, Sachs &amp; Co., including as partner and worldwide head of its financial technology group</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Other board experience (current): NCR Voyix Corporation (NYSE: VYX); Guidewire Software,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 (NYSE: GWRE); VeriFone, Inc.; and PaymentWorks</w:t>
      </w:r>
    </w:p>
    <w:p>
      <w:pPr>
        <w:spacing w:after="0" w:line="165" w:lineRule="exact"/>
        <w:rPr>
          <w:sz w:val="20"/>
          <w:szCs w:val="20"/>
          <w:color w:val="auto"/>
        </w:rPr>
      </w:pPr>
    </w:p>
    <w:p>
      <w:pPr>
        <w:ind w:right="139"/>
        <w:spacing w:after="0" w:line="265" w:lineRule="auto"/>
        <w:rPr>
          <w:sz w:val="20"/>
          <w:szCs w:val="20"/>
          <w:color w:val="auto"/>
        </w:rPr>
      </w:pPr>
      <w:r>
        <w:rPr>
          <w:rFonts w:ascii="Arial" w:cs="Arial" w:eastAsia="Arial" w:hAnsi="Arial"/>
          <w:sz w:val="16"/>
          <w:szCs w:val="16"/>
          <w:color w:val="auto"/>
        </w:rPr>
        <w:t>Provides: Over 30 years of experience in the financial services, financial technology and payments industries; extensive experience in public board directorships, private equity and venture capital investing; and financial acumen and experience as a public company executive for 13 years</w:t>
      </w:r>
    </w:p>
    <w:p>
      <w:pPr>
        <w:spacing w:after="0" w:line="200" w:lineRule="exact"/>
        <w:rPr>
          <w:sz w:val="20"/>
          <w:szCs w:val="20"/>
          <w:color w:val="auto"/>
        </w:rPr>
      </w:pPr>
    </w:p>
    <w:p>
      <w:pPr>
        <w:sectPr>
          <w:pgSz w:w="11900" w:h="16838" w:orient="portrait"/>
          <w:cols w:equalWidth="0" w:num="2">
            <w:col w:w="1380" w:space="720"/>
            <w:col w:w="6919"/>
          </w:cols>
          <w:pgMar w:left="1440" w:top="769" w:right="1440"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CF1D4C"/>
        </w:rPr>
        <w:t>Steven T. Stull</w:t>
      </w:r>
    </w:p>
    <w:p>
      <w:pPr>
        <w:spacing w:after="0" w:line="284" w:lineRule="exact"/>
        <w:rPr>
          <w:sz w:val="20"/>
          <w:szCs w:val="20"/>
          <w:color w:val="auto"/>
        </w:rPr>
      </w:pPr>
    </w:p>
    <w:p>
      <w:pPr>
        <w:ind w:left="2100" w:right="159"/>
        <w:spacing w:after="0" w:line="260" w:lineRule="auto"/>
        <w:rPr>
          <w:sz w:val="20"/>
          <w:szCs w:val="20"/>
          <w:color w:val="auto"/>
        </w:rPr>
      </w:pPr>
      <w:r>
        <w:rPr>
          <w:rFonts w:ascii="Arial" w:cs="Arial" w:eastAsia="Arial" w:hAnsi="Arial"/>
          <w:sz w:val="16"/>
          <w:szCs w:val="16"/>
          <w:color w:val="auto"/>
        </w:rPr>
        <w:t>Featured experience, qualifications and attributes: CEO and Co-Founder of Advantage Capital Partners, a private equity firm, overseeing investments in the technology, financial and information services industries, since 1992; prior Investment executive with a large insurance company; Chief Financial Officer of an information services company and other career experience in financial institutions</w:t>
      </w:r>
    </w:p>
    <w:p>
      <w:pPr>
        <w:spacing w:after="0" w:line="137"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Provides: Deep experience in investments and the financial services industry</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Age: 67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 Since: 2000</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4"/>
          <w:szCs w:val="14"/>
          <w:b w:val="1"/>
          <w:bCs w:val="1"/>
          <w:color w:val="2C6EC4"/>
        </w:rPr>
        <w:t>14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19"/>
          </w:cols>
          <w:pgMar w:left="1440" w:top="769" w:right="1440" w:bottom="1440" w:gutter="0" w:footer="0" w:header="0"/>
          <w:type w:val="continuous"/>
        </w:sectPr>
      </w:pPr>
    </w:p>
    <w:bookmarkStart w:id="20" w:name="page21"/>
    <w:bookmarkEnd w:id="20"/>
    <w:p>
      <w:pPr>
        <w:ind w:left="20"/>
        <w:spacing w:after="0"/>
        <w:tabs>
          <w:tab w:leader="none" w:pos="55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03. 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040" w:type="dxa"/>
            <w:vAlign w:val="bottom"/>
          </w:tcPr>
          <w:p>
            <w:pPr>
              <w:spacing w:after="0"/>
              <w:rPr>
                <w:sz w:val="21"/>
                <w:szCs w:val="21"/>
                <w:color w:val="auto"/>
              </w:rPr>
            </w:pPr>
          </w:p>
        </w:tc>
        <w:tc>
          <w:tcPr>
            <w:tcW w:w="6980" w:type="dxa"/>
            <w:vAlign w:val="bottom"/>
          </w:tcPr>
          <w:p>
            <w:pPr>
              <w:ind w:left="40"/>
              <w:spacing w:after="0"/>
              <w:rPr>
                <w:sz w:val="20"/>
                <w:szCs w:val="20"/>
                <w:color w:val="auto"/>
              </w:rPr>
            </w:pPr>
            <w:r>
              <w:rPr>
                <w:rFonts w:ascii="Arial" w:cs="Arial" w:eastAsia="Arial" w:hAnsi="Arial"/>
                <w:sz w:val="18"/>
                <w:szCs w:val="18"/>
                <w:b w:val="1"/>
                <w:bCs w:val="1"/>
                <w:color w:val="CF1D4C"/>
              </w:rPr>
              <w:t>Gerald Throop</w:t>
            </w:r>
          </w:p>
        </w:tc>
        <w:tc>
          <w:tcPr>
            <w:tcW w:w="0" w:type="dxa"/>
            <w:vAlign w:val="bottom"/>
          </w:tcPr>
          <w:p>
            <w:pPr>
              <w:spacing w:after="0"/>
              <w:rPr>
                <w:sz w:val="1"/>
                <w:szCs w:val="1"/>
                <w:color w:val="auto"/>
              </w:rPr>
            </w:pPr>
          </w:p>
        </w:tc>
      </w:tr>
      <w:tr>
        <w:trPr>
          <w:trHeight w:val="123"/>
        </w:trPr>
        <w:tc>
          <w:tcPr>
            <w:tcW w:w="2040" w:type="dxa"/>
            <w:vAlign w:val="bottom"/>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04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Featured experience, qualifications and attributes: Former Head of Global Equities at the</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National Bank of Canada; prior Head of Canadian Equities at Merrill Lynch; previously CFO for</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two Canadian public telecommunications companies; earned Canadian CPA while serving with</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a predecessor of KPMG</w:t>
            </w:r>
          </w:p>
        </w:tc>
        <w:tc>
          <w:tcPr>
            <w:tcW w:w="0" w:type="dxa"/>
            <w:vAlign w:val="bottom"/>
          </w:tcPr>
          <w:p>
            <w:pPr>
              <w:spacing w:after="0"/>
              <w:rPr>
                <w:sz w:val="1"/>
                <w:szCs w:val="1"/>
                <w:color w:val="auto"/>
              </w:rPr>
            </w:pPr>
          </w:p>
        </w:tc>
      </w:tr>
      <w:tr>
        <w:trPr>
          <w:trHeight w:val="351"/>
        </w:trPr>
        <w:tc>
          <w:tcPr>
            <w:tcW w:w="204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Other board experience (current): Nasdaq Canada</w:t>
            </w:r>
          </w:p>
        </w:tc>
        <w:tc>
          <w:tcPr>
            <w:tcW w:w="0" w:type="dxa"/>
            <w:vAlign w:val="bottom"/>
          </w:tcPr>
          <w:p>
            <w:pPr>
              <w:spacing w:after="0"/>
              <w:rPr>
                <w:sz w:val="1"/>
                <w:szCs w:val="1"/>
                <w:color w:val="auto"/>
              </w:rPr>
            </w:pPr>
          </w:p>
        </w:tc>
      </w:tr>
      <w:tr>
        <w:trPr>
          <w:trHeight w:val="339"/>
        </w:trPr>
        <w:tc>
          <w:tcPr>
            <w:tcW w:w="204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Other board experience (prior): Lead Independent Director for Dayforce, Inc. (formerly NYSE:</w:t>
            </w:r>
          </w:p>
        </w:tc>
        <w:tc>
          <w:tcPr>
            <w:tcW w:w="0" w:type="dxa"/>
            <w:vAlign w:val="bottom"/>
          </w:tcPr>
          <w:p>
            <w:pPr>
              <w:spacing w:after="0"/>
              <w:rPr>
                <w:sz w:val="1"/>
                <w:szCs w:val="1"/>
                <w:color w:val="auto"/>
              </w:rPr>
            </w:pPr>
          </w:p>
        </w:tc>
      </w:tr>
      <w:tr>
        <w:trPr>
          <w:trHeight w:val="215"/>
        </w:trPr>
        <w:tc>
          <w:tcPr>
            <w:tcW w:w="2040" w:type="dxa"/>
            <w:vAlign w:val="bottom"/>
            <w:vMerge w:val="restart"/>
          </w:tcPr>
          <w:p>
            <w:pPr>
              <w:spacing w:after="0"/>
              <w:rPr>
                <w:sz w:val="20"/>
                <w:szCs w:val="20"/>
                <w:color w:val="auto"/>
              </w:rPr>
            </w:pPr>
            <w:r>
              <w:rPr>
                <w:rFonts w:ascii="Arial" w:cs="Arial" w:eastAsia="Arial" w:hAnsi="Arial"/>
                <w:sz w:val="14"/>
                <w:szCs w:val="14"/>
                <w:i w:val="1"/>
                <w:iCs w:val="1"/>
                <w:color w:val="auto"/>
              </w:rPr>
              <w:t>Age: 68</w:t>
            </w:r>
          </w:p>
        </w:tc>
        <w:tc>
          <w:tcPr>
            <w:tcW w:w="6980" w:type="dxa"/>
            <w:vAlign w:val="bottom"/>
          </w:tcPr>
          <w:p>
            <w:pPr>
              <w:ind w:left="40"/>
              <w:spacing w:after="0"/>
              <w:rPr>
                <w:sz w:val="20"/>
                <w:szCs w:val="20"/>
                <w:color w:val="auto"/>
              </w:rPr>
            </w:pPr>
            <w:r>
              <w:rPr>
                <w:rFonts w:ascii="Arial" w:cs="Arial" w:eastAsia="Arial" w:hAnsi="Arial"/>
                <w:sz w:val="16"/>
                <w:szCs w:val="16"/>
                <w:color w:val="auto"/>
              </w:rPr>
              <w:t>DAY) from 2018 to 2026</w:t>
            </w:r>
          </w:p>
        </w:tc>
        <w:tc>
          <w:tcPr>
            <w:tcW w:w="0" w:type="dxa"/>
            <w:vAlign w:val="bottom"/>
          </w:tcPr>
          <w:p>
            <w:pPr>
              <w:spacing w:after="0"/>
              <w:rPr>
                <w:sz w:val="1"/>
                <w:szCs w:val="1"/>
                <w:color w:val="auto"/>
              </w:rPr>
            </w:pPr>
          </w:p>
        </w:tc>
      </w:tr>
      <w:tr>
        <w:trPr>
          <w:trHeight w:val="143"/>
        </w:trPr>
        <w:tc>
          <w:tcPr>
            <w:tcW w:w="2040" w:type="dxa"/>
            <w:vAlign w:val="bottom"/>
            <w:vMerge w:val="continue"/>
          </w:tcPr>
          <w:p>
            <w:pPr>
              <w:spacing w:after="0"/>
              <w:rPr>
                <w:sz w:val="12"/>
                <w:szCs w:val="12"/>
                <w:color w:val="auto"/>
              </w:rPr>
            </w:pPr>
          </w:p>
        </w:tc>
        <w:tc>
          <w:tcPr>
            <w:tcW w:w="6980" w:type="dxa"/>
            <w:vAlign w:val="bottom"/>
            <w:vMerge w:val="restart"/>
          </w:tcPr>
          <w:p>
            <w:pPr>
              <w:ind w:left="40"/>
              <w:spacing w:after="0"/>
              <w:rPr>
                <w:sz w:val="20"/>
                <w:szCs w:val="20"/>
                <w:color w:val="auto"/>
              </w:rPr>
            </w:pPr>
            <w:r>
              <w:rPr>
                <w:rFonts w:ascii="Arial" w:cs="Arial" w:eastAsia="Arial" w:hAnsi="Arial"/>
                <w:sz w:val="16"/>
                <w:szCs w:val="16"/>
                <w:color w:val="auto"/>
              </w:rPr>
              <w:t>Provides: Over 30 years of experience in the financial and banking industry and significant audit</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4"/>
                <w:szCs w:val="14"/>
                <w:i w:val="1"/>
                <w:iCs w:val="1"/>
                <w:color w:val="auto"/>
              </w:rPr>
              <w:t>Director Since: 2023</w:t>
            </w:r>
          </w:p>
        </w:tc>
        <w:tc>
          <w:tcPr>
            <w:tcW w:w="6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and accounting background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20"/>
        <w:spacing w:after="0"/>
        <w:tabs>
          <w:tab w:leader="none" w:pos="882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15</w:t>
      </w:r>
    </w:p>
    <w:p>
      <w:pPr>
        <w:sectPr>
          <w:pgSz w:w="11900" w:h="16838" w:orient="portrait"/>
          <w:cols w:equalWidth="0" w:num="1">
            <w:col w:w="9040"/>
          </w:cols>
          <w:pgMar w:left="1440" w:top="769" w:right="1419" w:bottom="1440" w:gutter="0" w:footer="0" w:header="0"/>
        </w:sectPr>
      </w:pPr>
    </w:p>
    <w:bookmarkStart w:id="21" w:name="page22"/>
    <w:bookmarkEnd w:id="21"/>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03. CORPORATE GOVERNANCE AND BOARD MATTERS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Evaluation and Evolution of Our Board</w:t>
      </w:r>
    </w:p>
    <w:p>
      <w:pPr>
        <w:spacing w:after="0" w:line="15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As part of our focus on shareholder value, we regularly evaluate the performance of our Board and its committees and engage in self-evaluation process. We also evaluate the mix of experience, expertise and tenure of our individual directors. Our corporate governance guidelines reflect this approach. We believe our directors’ diverse backgrounds help us to make the most of opportunities and to effectively manage risk. We believe that our efforts have and will continue to result in a board and management focused on delivering exceptional value to our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32"/>
          <w:szCs w:val="32"/>
          <w:color w:val="C43776"/>
        </w:rPr>
        <w:t>Board Meetings and Committees</w:t>
      </w:r>
    </w:p>
    <w:p>
      <w:pPr>
        <w:spacing w:after="0" w:line="15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Board held seven meetings in 2025. Information regarding the number of meetings held by the Board's five standing committees in 2025 is set forth below. Each director attended 100% of Board and applicable committee meetings held during the year. The Board does not have a formal policy with respect to attendance at meetings, however, all of our directors are expected to attend each meeting.</w:t>
      </w:r>
    </w:p>
    <w:p>
      <w:pPr>
        <w:spacing w:after="0" w:line="11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Our independent directors meet regularly in executive session at each scheduled in-person Board meeting. These sessions are led by the Lead Independent Director who reports the results of the independent sessions to the CEO and, if appropriate, to other members of senior management.</w:t>
      </w:r>
    </w:p>
    <w:p>
      <w:pPr>
        <w:spacing w:after="0" w:line="110"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Through 2025, our Board had five standing committees: an audit committee; a compensation committee; a nomination and governance committee (referred to as our governance committee); an executive and acquisitions committee; and an information technology and security committee. The table below provides current membership for each of the Board committees.</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Each committee endeavors to meet quarterly, except the governance committee and the executive and acquisitions committee, which meet as needed. Our Board has adopted charters for the committees, which are available on our website at https://investor.corpay.com.</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820" w:type="dxa"/>
            <w:vAlign w:val="bottom"/>
            <w:shd w:val="clear" w:color="auto" w:fill="C43776"/>
          </w:tcPr>
          <w:p>
            <w:pPr>
              <w:spacing w:after="0"/>
              <w:rPr>
                <w:sz w:val="24"/>
                <w:szCs w:val="24"/>
                <w:color w:val="auto"/>
              </w:rPr>
            </w:pPr>
          </w:p>
        </w:tc>
        <w:tc>
          <w:tcPr>
            <w:tcW w:w="1160" w:type="dxa"/>
            <w:vAlign w:val="bottom"/>
            <w:shd w:val="clear" w:color="auto" w:fill="C43776"/>
          </w:tcPr>
          <w:p>
            <w:pPr>
              <w:spacing w:after="0"/>
              <w:rPr>
                <w:sz w:val="24"/>
                <w:szCs w:val="24"/>
                <w:color w:val="auto"/>
              </w:rPr>
            </w:pPr>
          </w:p>
        </w:tc>
        <w:tc>
          <w:tcPr>
            <w:tcW w:w="980" w:type="dxa"/>
            <w:vAlign w:val="bottom"/>
            <w:shd w:val="clear" w:color="auto" w:fill="C43776"/>
          </w:tcPr>
          <w:p>
            <w:pPr>
              <w:spacing w:after="0"/>
              <w:rPr>
                <w:sz w:val="24"/>
                <w:szCs w:val="24"/>
                <w:color w:val="auto"/>
              </w:rPr>
            </w:pPr>
          </w:p>
        </w:tc>
        <w:tc>
          <w:tcPr>
            <w:tcW w:w="1360" w:type="dxa"/>
            <w:vAlign w:val="bottom"/>
            <w:shd w:val="clear" w:color="auto" w:fill="C43776"/>
          </w:tcPr>
          <w:p>
            <w:pPr>
              <w:spacing w:after="0"/>
              <w:rPr>
                <w:sz w:val="24"/>
                <w:szCs w:val="24"/>
                <w:color w:val="auto"/>
              </w:rPr>
            </w:pPr>
          </w:p>
        </w:tc>
        <w:tc>
          <w:tcPr>
            <w:tcW w:w="1260" w:type="dxa"/>
            <w:vAlign w:val="bottom"/>
            <w:vMerge w:val="restart"/>
            <w:shd w:val="clear" w:color="auto" w:fill="C43776"/>
          </w:tcPr>
          <w:p>
            <w:pPr>
              <w:jc w:val="center"/>
              <w:spacing w:after="0"/>
              <w:rPr>
                <w:sz w:val="20"/>
                <w:szCs w:val="20"/>
                <w:color w:val="auto"/>
              </w:rPr>
            </w:pPr>
            <w:r>
              <w:rPr>
                <w:rFonts w:ascii="Arial" w:cs="Arial" w:eastAsia="Arial" w:hAnsi="Arial"/>
                <w:sz w:val="14"/>
                <w:szCs w:val="14"/>
                <w:b w:val="1"/>
                <w:bCs w:val="1"/>
                <w:color w:val="FFFFFF"/>
              </w:rPr>
              <w:t>Nomination &amp;</w:t>
            </w:r>
          </w:p>
        </w:tc>
        <w:tc>
          <w:tcPr>
            <w:tcW w:w="1260" w:type="dxa"/>
            <w:vAlign w:val="bottom"/>
            <w:vMerge w:val="restart"/>
            <w:shd w:val="clear" w:color="auto" w:fill="C43776"/>
          </w:tcPr>
          <w:p>
            <w:pPr>
              <w:jc w:val="center"/>
              <w:spacing w:after="0"/>
              <w:rPr>
                <w:sz w:val="20"/>
                <w:szCs w:val="20"/>
                <w:color w:val="auto"/>
              </w:rPr>
            </w:pPr>
            <w:r>
              <w:rPr>
                <w:rFonts w:ascii="Arial" w:cs="Arial" w:eastAsia="Arial" w:hAnsi="Arial"/>
                <w:sz w:val="14"/>
                <w:szCs w:val="14"/>
                <w:b w:val="1"/>
                <w:bCs w:val="1"/>
                <w:color w:val="FFFFFF"/>
              </w:rPr>
              <w:t>Executive &amp;</w:t>
            </w:r>
          </w:p>
        </w:tc>
        <w:tc>
          <w:tcPr>
            <w:tcW w:w="1240" w:type="dxa"/>
            <w:vAlign w:val="bottom"/>
            <w:shd w:val="clear" w:color="auto" w:fill="C43776"/>
          </w:tcPr>
          <w:p>
            <w:pPr>
              <w:jc w:val="center"/>
              <w:spacing w:after="0"/>
              <w:rPr>
                <w:sz w:val="20"/>
                <w:szCs w:val="20"/>
                <w:color w:val="auto"/>
              </w:rPr>
            </w:pPr>
            <w:r>
              <w:rPr>
                <w:rFonts w:ascii="Arial" w:cs="Arial" w:eastAsia="Arial" w:hAnsi="Arial"/>
                <w:sz w:val="14"/>
                <w:szCs w:val="14"/>
                <w:b w:val="1"/>
                <w:bCs w:val="1"/>
                <w:color w:val="FFFFFF"/>
              </w:rPr>
              <w:t>Information</w:t>
            </w:r>
          </w:p>
        </w:tc>
        <w:tc>
          <w:tcPr>
            <w:tcW w:w="0" w:type="dxa"/>
            <w:vAlign w:val="bottom"/>
          </w:tcPr>
          <w:p>
            <w:pPr>
              <w:spacing w:after="0"/>
              <w:rPr>
                <w:sz w:val="1"/>
                <w:szCs w:val="1"/>
                <w:color w:val="auto"/>
              </w:rPr>
            </w:pPr>
          </w:p>
        </w:tc>
      </w:tr>
      <w:tr>
        <w:trPr>
          <w:trHeight w:val="95"/>
        </w:trPr>
        <w:tc>
          <w:tcPr>
            <w:tcW w:w="1820" w:type="dxa"/>
            <w:vAlign w:val="bottom"/>
            <w:shd w:val="clear" w:color="auto" w:fill="C43776"/>
          </w:tcPr>
          <w:p>
            <w:pPr>
              <w:spacing w:after="0"/>
              <w:rPr>
                <w:sz w:val="8"/>
                <w:szCs w:val="8"/>
                <w:color w:val="auto"/>
              </w:rPr>
            </w:pPr>
          </w:p>
        </w:tc>
        <w:tc>
          <w:tcPr>
            <w:tcW w:w="1160" w:type="dxa"/>
            <w:vAlign w:val="bottom"/>
            <w:shd w:val="clear" w:color="auto" w:fill="C43776"/>
          </w:tcPr>
          <w:p>
            <w:pPr>
              <w:spacing w:after="0"/>
              <w:rPr>
                <w:sz w:val="8"/>
                <w:szCs w:val="8"/>
                <w:color w:val="auto"/>
              </w:rPr>
            </w:pPr>
          </w:p>
        </w:tc>
        <w:tc>
          <w:tcPr>
            <w:tcW w:w="980" w:type="dxa"/>
            <w:vAlign w:val="bottom"/>
            <w:vMerge w:val="restart"/>
            <w:shd w:val="clear" w:color="auto" w:fill="C43776"/>
          </w:tcPr>
          <w:p>
            <w:pPr>
              <w:jc w:val="center"/>
              <w:ind w:left="108"/>
              <w:spacing w:after="0"/>
              <w:rPr>
                <w:sz w:val="20"/>
                <w:szCs w:val="20"/>
                <w:color w:val="auto"/>
              </w:rPr>
            </w:pPr>
            <w:r>
              <w:rPr>
                <w:rFonts w:ascii="Arial" w:cs="Arial" w:eastAsia="Arial" w:hAnsi="Arial"/>
                <w:sz w:val="14"/>
                <w:szCs w:val="14"/>
                <w:b w:val="1"/>
                <w:bCs w:val="1"/>
                <w:color w:val="FFFFFF"/>
              </w:rPr>
              <w:t>Audit</w:t>
            </w:r>
          </w:p>
        </w:tc>
        <w:tc>
          <w:tcPr>
            <w:tcW w:w="1360" w:type="dxa"/>
            <w:vAlign w:val="bottom"/>
            <w:vMerge w:val="restart"/>
            <w:shd w:val="clear" w:color="auto" w:fill="C43776"/>
          </w:tcPr>
          <w:p>
            <w:pPr>
              <w:jc w:val="center"/>
              <w:ind w:left="8"/>
              <w:spacing w:after="0"/>
              <w:rPr>
                <w:sz w:val="20"/>
                <w:szCs w:val="20"/>
                <w:color w:val="auto"/>
              </w:rPr>
            </w:pPr>
            <w:r>
              <w:rPr>
                <w:rFonts w:ascii="Arial" w:cs="Arial" w:eastAsia="Arial" w:hAnsi="Arial"/>
                <w:sz w:val="14"/>
                <w:szCs w:val="14"/>
                <w:b w:val="1"/>
                <w:bCs w:val="1"/>
                <w:color w:val="FFFFFF"/>
              </w:rPr>
              <w:t>Compensation</w:t>
            </w:r>
          </w:p>
        </w:tc>
        <w:tc>
          <w:tcPr>
            <w:tcW w:w="1260" w:type="dxa"/>
            <w:vAlign w:val="bottom"/>
            <w:vMerge w:val="continue"/>
            <w:shd w:val="clear" w:color="auto" w:fill="C43776"/>
          </w:tcPr>
          <w:p>
            <w:pPr>
              <w:spacing w:after="0"/>
              <w:rPr>
                <w:sz w:val="8"/>
                <w:szCs w:val="8"/>
                <w:color w:val="auto"/>
              </w:rPr>
            </w:pPr>
          </w:p>
        </w:tc>
        <w:tc>
          <w:tcPr>
            <w:tcW w:w="1260" w:type="dxa"/>
            <w:vAlign w:val="bottom"/>
            <w:vMerge w:val="continue"/>
            <w:shd w:val="clear" w:color="auto" w:fill="C43776"/>
          </w:tcPr>
          <w:p>
            <w:pPr>
              <w:spacing w:after="0"/>
              <w:rPr>
                <w:sz w:val="8"/>
                <w:szCs w:val="8"/>
                <w:color w:val="auto"/>
              </w:rPr>
            </w:pPr>
          </w:p>
        </w:tc>
        <w:tc>
          <w:tcPr>
            <w:tcW w:w="1240" w:type="dxa"/>
            <w:vAlign w:val="bottom"/>
            <w:vMerge w:val="restart"/>
            <w:shd w:val="clear" w:color="auto" w:fill="C43776"/>
          </w:tcPr>
          <w:p>
            <w:pPr>
              <w:jc w:val="center"/>
              <w:spacing w:after="0"/>
              <w:rPr>
                <w:sz w:val="20"/>
                <w:szCs w:val="20"/>
                <w:color w:val="auto"/>
              </w:rPr>
            </w:pPr>
            <w:r>
              <w:rPr>
                <w:rFonts w:ascii="Arial" w:cs="Arial" w:eastAsia="Arial" w:hAnsi="Arial"/>
                <w:sz w:val="14"/>
                <w:szCs w:val="14"/>
                <w:b w:val="1"/>
                <w:bCs w:val="1"/>
                <w:color w:val="FFFFFF"/>
              </w:rPr>
              <w:t>Technology</w:t>
            </w:r>
          </w:p>
        </w:tc>
        <w:tc>
          <w:tcPr>
            <w:tcW w:w="0" w:type="dxa"/>
            <w:vAlign w:val="bottom"/>
          </w:tcPr>
          <w:p>
            <w:pPr>
              <w:spacing w:after="0"/>
              <w:rPr>
                <w:sz w:val="1"/>
                <w:szCs w:val="1"/>
                <w:color w:val="auto"/>
              </w:rPr>
            </w:pPr>
          </w:p>
        </w:tc>
      </w:tr>
      <w:tr>
        <w:trPr>
          <w:trHeight w:val="81"/>
        </w:trPr>
        <w:tc>
          <w:tcPr>
            <w:tcW w:w="1820" w:type="dxa"/>
            <w:vAlign w:val="bottom"/>
            <w:shd w:val="clear" w:color="auto" w:fill="C43776"/>
          </w:tcPr>
          <w:p>
            <w:pPr>
              <w:spacing w:after="0"/>
              <w:rPr>
                <w:sz w:val="7"/>
                <w:szCs w:val="7"/>
                <w:color w:val="auto"/>
              </w:rPr>
            </w:pPr>
          </w:p>
        </w:tc>
        <w:tc>
          <w:tcPr>
            <w:tcW w:w="1160" w:type="dxa"/>
            <w:vAlign w:val="bottom"/>
            <w:shd w:val="clear" w:color="auto" w:fill="C43776"/>
          </w:tcPr>
          <w:p>
            <w:pPr>
              <w:spacing w:after="0"/>
              <w:rPr>
                <w:sz w:val="7"/>
                <w:szCs w:val="7"/>
                <w:color w:val="auto"/>
              </w:rPr>
            </w:pPr>
          </w:p>
        </w:tc>
        <w:tc>
          <w:tcPr>
            <w:tcW w:w="980" w:type="dxa"/>
            <w:vAlign w:val="bottom"/>
            <w:vMerge w:val="continue"/>
            <w:shd w:val="clear" w:color="auto" w:fill="C43776"/>
          </w:tcPr>
          <w:p>
            <w:pPr>
              <w:spacing w:after="0"/>
              <w:rPr>
                <w:sz w:val="7"/>
                <w:szCs w:val="7"/>
                <w:color w:val="auto"/>
              </w:rPr>
            </w:pPr>
          </w:p>
        </w:tc>
        <w:tc>
          <w:tcPr>
            <w:tcW w:w="1360" w:type="dxa"/>
            <w:vAlign w:val="bottom"/>
            <w:vMerge w:val="continue"/>
            <w:shd w:val="clear" w:color="auto" w:fill="C43776"/>
          </w:tcPr>
          <w:p>
            <w:pPr>
              <w:spacing w:after="0"/>
              <w:rPr>
                <w:sz w:val="7"/>
                <w:szCs w:val="7"/>
                <w:color w:val="auto"/>
              </w:rPr>
            </w:pPr>
          </w:p>
        </w:tc>
        <w:tc>
          <w:tcPr>
            <w:tcW w:w="1260" w:type="dxa"/>
            <w:vAlign w:val="bottom"/>
            <w:vMerge w:val="restart"/>
            <w:shd w:val="clear" w:color="auto" w:fill="C43776"/>
          </w:tcPr>
          <w:p>
            <w:pPr>
              <w:jc w:val="center"/>
              <w:spacing w:after="0"/>
              <w:rPr>
                <w:sz w:val="20"/>
                <w:szCs w:val="20"/>
                <w:color w:val="auto"/>
              </w:rPr>
            </w:pPr>
            <w:r>
              <w:rPr>
                <w:rFonts w:ascii="Arial" w:cs="Arial" w:eastAsia="Arial" w:hAnsi="Arial"/>
                <w:sz w:val="14"/>
                <w:szCs w:val="14"/>
                <w:b w:val="1"/>
                <w:bCs w:val="1"/>
                <w:color w:val="FFFFFF"/>
              </w:rPr>
              <w:t>Governance</w:t>
            </w:r>
          </w:p>
        </w:tc>
        <w:tc>
          <w:tcPr>
            <w:tcW w:w="1260" w:type="dxa"/>
            <w:vAlign w:val="bottom"/>
            <w:vMerge w:val="restart"/>
            <w:shd w:val="clear" w:color="auto" w:fill="C43776"/>
          </w:tcPr>
          <w:p>
            <w:pPr>
              <w:jc w:val="center"/>
              <w:spacing w:after="0"/>
              <w:rPr>
                <w:sz w:val="20"/>
                <w:szCs w:val="20"/>
                <w:color w:val="auto"/>
              </w:rPr>
            </w:pPr>
            <w:r>
              <w:rPr>
                <w:rFonts w:ascii="Arial" w:cs="Arial" w:eastAsia="Arial" w:hAnsi="Arial"/>
                <w:sz w:val="14"/>
                <w:szCs w:val="14"/>
                <w:b w:val="1"/>
                <w:bCs w:val="1"/>
                <w:color w:val="FFFFFF"/>
              </w:rPr>
              <w:t>Acquisitions</w:t>
            </w:r>
          </w:p>
        </w:tc>
        <w:tc>
          <w:tcPr>
            <w:tcW w:w="1240" w:type="dxa"/>
            <w:vAlign w:val="bottom"/>
            <w:vMerge w:val="continue"/>
            <w:shd w:val="clear" w:color="auto" w:fill="C43776"/>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43776"/>
          </w:tcPr>
          <w:p>
            <w:pPr>
              <w:spacing w:after="0"/>
              <w:rPr>
                <w:sz w:val="10"/>
                <w:szCs w:val="10"/>
                <w:color w:val="auto"/>
              </w:rPr>
            </w:pPr>
          </w:p>
        </w:tc>
        <w:tc>
          <w:tcPr>
            <w:tcW w:w="1160" w:type="dxa"/>
            <w:vAlign w:val="bottom"/>
            <w:shd w:val="clear" w:color="auto" w:fill="C43776"/>
          </w:tcPr>
          <w:p>
            <w:pPr>
              <w:spacing w:after="0"/>
              <w:rPr>
                <w:sz w:val="10"/>
                <w:szCs w:val="10"/>
                <w:color w:val="auto"/>
              </w:rPr>
            </w:pPr>
          </w:p>
        </w:tc>
        <w:tc>
          <w:tcPr>
            <w:tcW w:w="980" w:type="dxa"/>
            <w:vAlign w:val="bottom"/>
            <w:shd w:val="clear" w:color="auto" w:fill="C43776"/>
          </w:tcPr>
          <w:p>
            <w:pPr>
              <w:spacing w:after="0"/>
              <w:rPr>
                <w:sz w:val="10"/>
                <w:szCs w:val="10"/>
                <w:color w:val="auto"/>
              </w:rPr>
            </w:pPr>
          </w:p>
        </w:tc>
        <w:tc>
          <w:tcPr>
            <w:tcW w:w="1360" w:type="dxa"/>
            <w:vAlign w:val="bottom"/>
            <w:shd w:val="clear" w:color="auto" w:fill="C43776"/>
          </w:tcPr>
          <w:p>
            <w:pPr>
              <w:spacing w:after="0"/>
              <w:rPr>
                <w:sz w:val="10"/>
                <w:szCs w:val="10"/>
                <w:color w:val="auto"/>
              </w:rPr>
            </w:pPr>
          </w:p>
        </w:tc>
        <w:tc>
          <w:tcPr>
            <w:tcW w:w="1260" w:type="dxa"/>
            <w:vAlign w:val="bottom"/>
            <w:vMerge w:val="continue"/>
            <w:shd w:val="clear" w:color="auto" w:fill="C43776"/>
          </w:tcPr>
          <w:p>
            <w:pPr>
              <w:spacing w:after="0"/>
              <w:rPr>
                <w:sz w:val="10"/>
                <w:szCs w:val="10"/>
                <w:color w:val="auto"/>
              </w:rPr>
            </w:pPr>
          </w:p>
        </w:tc>
        <w:tc>
          <w:tcPr>
            <w:tcW w:w="1260" w:type="dxa"/>
            <w:vAlign w:val="bottom"/>
            <w:vMerge w:val="continue"/>
            <w:shd w:val="clear" w:color="auto" w:fill="C43776"/>
          </w:tcPr>
          <w:p>
            <w:pPr>
              <w:spacing w:after="0"/>
              <w:rPr>
                <w:sz w:val="10"/>
                <w:szCs w:val="10"/>
                <w:color w:val="auto"/>
              </w:rPr>
            </w:pPr>
          </w:p>
        </w:tc>
        <w:tc>
          <w:tcPr>
            <w:tcW w:w="1240" w:type="dxa"/>
            <w:vAlign w:val="bottom"/>
            <w:vMerge w:val="restart"/>
            <w:shd w:val="clear" w:color="auto" w:fill="C43776"/>
          </w:tcPr>
          <w:p>
            <w:pPr>
              <w:jc w:val="center"/>
              <w:spacing w:after="0"/>
              <w:rPr>
                <w:sz w:val="20"/>
                <w:szCs w:val="20"/>
                <w:color w:val="auto"/>
              </w:rPr>
            </w:pPr>
            <w:r>
              <w:rPr>
                <w:rFonts w:ascii="Arial" w:cs="Arial" w:eastAsia="Arial" w:hAnsi="Arial"/>
                <w:sz w:val="14"/>
                <w:szCs w:val="14"/>
                <w:b w:val="1"/>
                <w:bCs w:val="1"/>
                <w:color w:val="FFFFFF"/>
              </w:rPr>
              <w:t>&amp; Security</w:t>
            </w:r>
          </w:p>
        </w:tc>
        <w:tc>
          <w:tcPr>
            <w:tcW w:w="0" w:type="dxa"/>
            <w:vAlign w:val="bottom"/>
          </w:tcPr>
          <w:p>
            <w:pPr>
              <w:spacing w:after="0"/>
              <w:rPr>
                <w:sz w:val="1"/>
                <w:szCs w:val="1"/>
                <w:color w:val="auto"/>
              </w:rPr>
            </w:pPr>
          </w:p>
        </w:tc>
      </w:tr>
      <w:tr>
        <w:trPr>
          <w:trHeight w:val="81"/>
        </w:trPr>
        <w:tc>
          <w:tcPr>
            <w:tcW w:w="1820" w:type="dxa"/>
            <w:vAlign w:val="bottom"/>
            <w:shd w:val="clear" w:color="auto" w:fill="C43776"/>
          </w:tcPr>
          <w:p>
            <w:pPr>
              <w:spacing w:after="0"/>
              <w:rPr>
                <w:sz w:val="7"/>
                <w:szCs w:val="7"/>
                <w:color w:val="auto"/>
              </w:rPr>
            </w:pPr>
          </w:p>
        </w:tc>
        <w:tc>
          <w:tcPr>
            <w:tcW w:w="1160" w:type="dxa"/>
            <w:vAlign w:val="bottom"/>
            <w:shd w:val="clear" w:color="auto" w:fill="C43776"/>
          </w:tcPr>
          <w:p>
            <w:pPr>
              <w:spacing w:after="0"/>
              <w:rPr>
                <w:sz w:val="7"/>
                <w:szCs w:val="7"/>
                <w:color w:val="auto"/>
              </w:rPr>
            </w:pPr>
          </w:p>
        </w:tc>
        <w:tc>
          <w:tcPr>
            <w:tcW w:w="980" w:type="dxa"/>
            <w:vAlign w:val="bottom"/>
            <w:shd w:val="clear" w:color="auto" w:fill="C43776"/>
          </w:tcPr>
          <w:p>
            <w:pPr>
              <w:spacing w:after="0"/>
              <w:rPr>
                <w:sz w:val="7"/>
                <w:szCs w:val="7"/>
                <w:color w:val="auto"/>
              </w:rPr>
            </w:pPr>
          </w:p>
        </w:tc>
        <w:tc>
          <w:tcPr>
            <w:tcW w:w="1360" w:type="dxa"/>
            <w:vAlign w:val="bottom"/>
            <w:shd w:val="clear" w:color="auto" w:fill="C43776"/>
          </w:tcPr>
          <w:p>
            <w:pPr>
              <w:spacing w:after="0"/>
              <w:rPr>
                <w:sz w:val="7"/>
                <w:szCs w:val="7"/>
                <w:color w:val="auto"/>
              </w:rPr>
            </w:pPr>
          </w:p>
        </w:tc>
        <w:tc>
          <w:tcPr>
            <w:tcW w:w="1260" w:type="dxa"/>
            <w:vAlign w:val="bottom"/>
            <w:shd w:val="clear" w:color="auto" w:fill="C43776"/>
          </w:tcPr>
          <w:p>
            <w:pPr>
              <w:spacing w:after="0"/>
              <w:rPr>
                <w:sz w:val="7"/>
                <w:szCs w:val="7"/>
                <w:color w:val="auto"/>
              </w:rPr>
            </w:pPr>
          </w:p>
        </w:tc>
        <w:tc>
          <w:tcPr>
            <w:tcW w:w="1260" w:type="dxa"/>
            <w:vAlign w:val="bottom"/>
            <w:shd w:val="clear" w:color="auto" w:fill="C43776"/>
          </w:tcPr>
          <w:p>
            <w:pPr>
              <w:spacing w:after="0"/>
              <w:rPr>
                <w:sz w:val="7"/>
                <w:szCs w:val="7"/>
                <w:color w:val="auto"/>
              </w:rPr>
            </w:pPr>
          </w:p>
        </w:tc>
        <w:tc>
          <w:tcPr>
            <w:tcW w:w="1240" w:type="dxa"/>
            <w:vAlign w:val="bottom"/>
            <w:vMerge w:val="continue"/>
            <w:shd w:val="clear" w:color="auto" w:fill="C43776"/>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820" w:type="dxa"/>
            <w:vAlign w:val="bottom"/>
            <w:shd w:val="clear" w:color="auto" w:fill="C43776"/>
          </w:tcPr>
          <w:p>
            <w:pPr>
              <w:spacing w:after="0"/>
              <w:rPr>
                <w:sz w:val="10"/>
                <w:szCs w:val="10"/>
                <w:color w:val="auto"/>
              </w:rPr>
            </w:pPr>
          </w:p>
        </w:tc>
        <w:tc>
          <w:tcPr>
            <w:tcW w:w="1160" w:type="dxa"/>
            <w:vAlign w:val="bottom"/>
            <w:shd w:val="clear" w:color="auto" w:fill="C43776"/>
          </w:tcPr>
          <w:p>
            <w:pPr>
              <w:spacing w:after="0"/>
              <w:rPr>
                <w:sz w:val="10"/>
                <w:szCs w:val="10"/>
                <w:color w:val="auto"/>
              </w:rPr>
            </w:pPr>
          </w:p>
        </w:tc>
        <w:tc>
          <w:tcPr>
            <w:tcW w:w="980" w:type="dxa"/>
            <w:vAlign w:val="bottom"/>
            <w:shd w:val="clear" w:color="auto" w:fill="C43776"/>
          </w:tcPr>
          <w:p>
            <w:pPr>
              <w:spacing w:after="0"/>
              <w:rPr>
                <w:sz w:val="10"/>
                <w:szCs w:val="10"/>
                <w:color w:val="auto"/>
              </w:rPr>
            </w:pPr>
          </w:p>
        </w:tc>
        <w:tc>
          <w:tcPr>
            <w:tcW w:w="1360" w:type="dxa"/>
            <w:vAlign w:val="bottom"/>
            <w:shd w:val="clear" w:color="auto" w:fill="C43776"/>
          </w:tcPr>
          <w:p>
            <w:pPr>
              <w:spacing w:after="0"/>
              <w:rPr>
                <w:sz w:val="10"/>
                <w:szCs w:val="10"/>
                <w:color w:val="auto"/>
              </w:rPr>
            </w:pPr>
          </w:p>
        </w:tc>
        <w:tc>
          <w:tcPr>
            <w:tcW w:w="1260" w:type="dxa"/>
            <w:vAlign w:val="bottom"/>
            <w:shd w:val="clear" w:color="auto" w:fill="C43776"/>
          </w:tcPr>
          <w:p>
            <w:pPr>
              <w:spacing w:after="0"/>
              <w:rPr>
                <w:sz w:val="10"/>
                <w:szCs w:val="10"/>
                <w:color w:val="auto"/>
              </w:rPr>
            </w:pPr>
          </w:p>
        </w:tc>
        <w:tc>
          <w:tcPr>
            <w:tcW w:w="1260" w:type="dxa"/>
            <w:vAlign w:val="bottom"/>
            <w:shd w:val="clear" w:color="auto" w:fill="C43776"/>
          </w:tcPr>
          <w:p>
            <w:pPr>
              <w:spacing w:after="0"/>
              <w:rPr>
                <w:sz w:val="10"/>
                <w:szCs w:val="10"/>
                <w:color w:val="auto"/>
              </w:rPr>
            </w:pPr>
          </w:p>
        </w:tc>
        <w:tc>
          <w:tcPr>
            <w:tcW w:w="1240" w:type="dxa"/>
            <w:vAlign w:val="bottom"/>
            <w:shd w:val="clear" w:color="auto" w:fill="C43776"/>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Annabelle Bexiga</w:t>
            </w:r>
          </w:p>
        </w:tc>
        <w:tc>
          <w:tcPr>
            <w:tcW w:w="1160" w:type="dxa"/>
            <w:vAlign w:val="bottom"/>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M</w:t>
            </w:r>
          </w:p>
        </w:tc>
        <w:tc>
          <w:tcPr>
            <w:tcW w:w="1260" w:type="dxa"/>
            <w:vAlign w:val="bottom"/>
          </w:tcPr>
          <w:p>
            <w:pPr>
              <w:jc w:val="center"/>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56"/>
        </w:trPr>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8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David L. Bunch</w:t>
            </w:r>
          </w:p>
        </w:tc>
        <w:tc>
          <w:tcPr>
            <w:tcW w:w="1160" w:type="dxa"/>
            <w:vAlign w:val="bottom"/>
            <w:tcBorders>
              <w:bottom w:val="single" w:sz="8" w:color="F1F2F2"/>
            </w:tcBorders>
            <w:shd w:val="clear" w:color="auto" w:fill="F1F2F2"/>
          </w:tcPr>
          <w:p>
            <w:pPr>
              <w:spacing w:after="0"/>
              <w:rPr>
                <w:sz w:val="24"/>
                <w:szCs w:val="24"/>
                <w:color w:val="auto"/>
              </w:rPr>
            </w:pPr>
          </w:p>
        </w:tc>
        <w:tc>
          <w:tcPr>
            <w:tcW w:w="980" w:type="dxa"/>
            <w:vAlign w:val="bottom"/>
            <w:tcBorders>
              <w:bottom w:val="single" w:sz="8" w:color="F1F2F2"/>
            </w:tcBorders>
            <w:shd w:val="clear" w:color="auto" w:fill="F1F2F2"/>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F1F2F2"/>
            </w:tcBorders>
            <w:shd w:val="clear" w:color="auto" w:fill="F1F2F2"/>
          </w:tcPr>
          <w:p>
            <w:pPr>
              <w:jc w:val="center"/>
              <w:ind w:left="28"/>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82"/>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1160" w:type="dxa"/>
            <w:vAlign w:val="bottom"/>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C</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6"/>
        </w:trPr>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8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Joseph W. Farrelly</w:t>
            </w:r>
          </w:p>
        </w:tc>
        <w:tc>
          <w:tcPr>
            <w:tcW w:w="1160" w:type="dxa"/>
            <w:vAlign w:val="bottom"/>
            <w:tcBorders>
              <w:bottom w:val="single" w:sz="8" w:color="F1F2F2"/>
            </w:tcBorders>
            <w:shd w:val="clear" w:color="auto" w:fill="F1F2F2"/>
          </w:tcPr>
          <w:p>
            <w:pPr>
              <w:spacing w:after="0"/>
              <w:rPr>
                <w:sz w:val="24"/>
                <w:szCs w:val="24"/>
                <w:color w:val="auto"/>
              </w:rPr>
            </w:pPr>
          </w:p>
        </w:tc>
        <w:tc>
          <w:tcPr>
            <w:tcW w:w="980" w:type="dxa"/>
            <w:vAlign w:val="bottom"/>
            <w:tcBorders>
              <w:bottom w:val="single" w:sz="8" w:color="F1F2F2"/>
            </w:tcBorders>
            <w:shd w:val="clear" w:color="auto" w:fill="F1F2F2"/>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F1F2F2"/>
            </w:tcBorders>
            <w:shd w:val="clear" w:color="auto" w:fill="F1F2F2"/>
          </w:tcPr>
          <w:p>
            <w:pPr>
              <w:jc w:val="center"/>
              <w:ind w:left="28"/>
              <w:spacing w:after="0"/>
              <w:rPr>
                <w:sz w:val="20"/>
                <w:szCs w:val="20"/>
                <w:color w:val="auto"/>
              </w:rPr>
            </w:pPr>
            <w:r>
              <w:rPr>
                <w:rFonts w:ascii="Arial" w:cs="Arial" w:eastAsia="Arial" w:hAnsi="Arial"/>
                <w:sz w:val="14"/>
                <w:szCs w:val="14"/>
                <w:color w:val="auto"/>
                <w:w w:val="98"/>
              </w:rPr>
              <w:t>C</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82"/>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Rahul Gupta</w:t>
            </w:r>
          </w:p>
        </w:tc>
        <w:tc>
          <w:tcPr>
            <w:tcW w:w="1160" w:type="dxa"/>
            <w:vAlign w:val="bottom"/>
          </w:tcPr>
          <w:p>
            <w:pPr>
              <w:spacing w:after="0"/>
              <w:rPr>
                <w:sz w:val="24"/>
                <w:szCs w:val="24"/>
                <w:color w:val="auto"/>
              </w:rPr>
            </w:pP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M</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6"/>
        </w:trPr>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8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Thomas M. Hagerty</w:t>
            </w:r>
          </w:p>
        </w:tc>
        <w:tc>
          <w:tcPr>
            <w:tcW w:w="1160" w:type="dxa"/>
            <w:vAlign w:val="bottom"/>
            <w:tcBorders>
              <w:bottom w:val="single" w:sz="8" w:color="F1F2F2"/>
            </w:tcBorders>
            <w:shd w:val="clear" w:color="auto" w:fill="F1F2F2"/>
          </w:tcPr>
          <w:p>
            <w:pPr>
              <w:spacing w:after="0"/>
              <w:rPr>
                <w:sz w:val="24"/>
                <w:szCs w:val="24"/>
                <w:color w:val="auto"/>
              </w:rPr>
            </w:pPr>
          </w:p>
        </w:tc>
        <w:tc>
          <w:tcPr>
            <w:tcW w:w="980" w:type="dxa"/>
            <w:vAlign w:val="bottom"/>
            <w:tcBorders>
              <w:bottom w:val="single" w:sz="8" w:color="F1F2F2"/>
            </w:tcBorders>
            <w:shd w:val="clear" w:color="auto" w:fill="F1F2F2"/>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F1F2F2"/>
            </w:tcBorders>
            <w:shd w:val="clear" w:color="auto" w:fill="F1F2F2"/>
          </w:tcPr>
          <w:p>
            <w:pPr>
              <w:jc w:val="center"/>
              <w:ind w:left="8"/>
              <w:spacing w:after="0"/>
              <w:rPr>
                <w:sz w:val="20"/>
                <w:szCs w:val="20"/>
                <w:color w:val="auto"/>
              </w:rPr>
            </w:pPr>
            <w:r>
              <w:rPr>
                <w:rFonts w:ascii="Arial" w:cs="Arial" w:eastAsia="Arial" w:hAnsi="Arial"/>
                <w:sz w:val="14"/>
                <w:szCs w:val="14"/>
                <w:color w:val="auto"/>
              </w:rPr>
              <w:t>M</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M</w:t>
            </w:r>
          </w:p>
        </w:tc>
        <w:tc>
          <w:tcPr>
            <w:tcW w:w="12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82"/>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Archie L. Jones, Jr.</w:t>
            </w:r>
          </w:p>
        </w:tc>
        <w:tc>
          <w:tcPr>
            <w:tcW w:w="1160" w:type="dxa"/>
            <w:vAlign w:val="bottom"/>
          </w:tcPr>
          <w:p>
            <w:pPr>
              <w:spacing w:after="0"/>
              <w:rPr>
                <w:sz w:val="24"/>
                <w:szCs w:val="24"/>
                <w:color w:val="auto"/>
              </w:rPr>
            </w:pP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M</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M</w:t>
            </w:r>
          </w:p>
        </w:tc>
        <w:tc>
          <w:tcPr>
            <w:tcW w:w="1260" w:type="dxa"/>
            <w:vAlign w:val="bottom"/>
          </w:tcPr>
          <w:p>
            <w:pPr>
              <w:jc w:val="center"/>
              <w:spacing w:after="0"/>
              <w:rPr>
                <w:sz w:val="20"/>
                <w:szCs w:val="20"/>
                <w:color w:val="auto"/>
              </w:rPr>
            </w:pPr>
            <w:r>
              <w:rPr>
                <w:rFonts w:ascii="Arial" w:cs="Arial" w:eastAsia="Arial" w:hAnsi="Arial"/>
                <w:sz w:val="14"/>
                <w:szCs w:val="14"/>
                <w:color w:val="auto"/>
              </w:rPr>
              <w:t>M</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6"/>
        </w:trPr>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8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Richard Macchia</w:t>
            </w:r>
          </w:p>
        </w:tc>
        <w:tc>
          <w:tcPr>
            <w:tcW w:w="1160" w:type="dxa"/>
            <w:vAlign w:val="bottom"/>
            <w:tcBorders>
              <w:bottom w:val="single" w:sz="8" w:color="F1F2F2"/>
            </w:tcBorders>
            <w:shd w:val="clear" w:color="auto" w:fill="F1F2F2"/>
          </w:tcPr>
          <w:p>
            <w:pPr>
              <w:spacing w:after="0"/>
              <w:rPr>
                <w:sz w:val="24"/>
                <w:szCs w:val="24"/>
                <w:color w:val="auto"/>
              </w:rPr>
            </w:pPr>
          </w:p>
        </w:tc>
        <w:tc>
          <w:tcPr>
            <w:tcW w:w="980" w:type="dxa"/>
            <w:vAlign w:val="bottom"/>
            <w:tcBorders>
              <w:bottom w:val="single" w:sz="8" w:color="F1F2F2"/>
            </w:tcBorders>
            <w:shd w:val="clear" w:color="auto" w:fill="F1F2F2"/>
          </w:tcPr>
          <w:p>
            <w:pPr>
              <w:jc w:val="center"/>
              <w:ind w:left="108"/>
              <w:spacing w:after="0"/>
              <w:rPr>
                <w:sz w:val="20"/>
                <w:szCs w:val="20"/>
                <w:color w:val="auto"/>
              </w:rPr>
            </w:pPr>
            <w:r>
              <w:rPr>
                <w:rFonts w:ascii="Arial" w:cs="Arial" w:eastAsia="Arial" w:hAnsi="Arial"/>
                <w:sz w:val="14"/>
                <w:szCs w:val="14"/>
                <w:color w:val="auto"/>
              </w:rPr>
              <w:t>C, F</w:t>
            </w:r>
          </w:p>
        </w:tc>
        <w:tc>
          <w:tcPr>
            <w:tcW w:w="1360" w:type="dxa"/>
            <w:vAlign w:val="bottom"/>
            <w:tcBorders>
              <w:bottom w:val="single" w:sz="8" w:color="F1F2F2"/>
            </w:tcBorders>
            <w:shd w:val="clear" w:color="auto" w:fill="F1F2F2"/>
          </w:tcPr>
          <w:p>
            <w:pPr>
              <w:jc w:val="center"/>
              <w:ind w:left="28"/>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81"/>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Hala G. Moddelmog</w:t>
            </w:r>
          </w:p>
        </w:tc>
        <w:tc>
          <w:tcPr>
            <w:tcW w:w="1160" w:type="dxa"/>
            <w:vAlign w:val="bottom"/>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M</w:t>
            </w:r>
          </w:p>
        </w:tc>
        <w:tc>
          <w:tcPr>
            <w:tcW w:w="1260" w:type="dxa"/>
            <w:vAlign w:val="bottom"/>
          </w:tcPr>
          <w:p>
            <w:pPr>
              <w:jc w:val="center"/>
              <w:spacing w:after="0"/>
              <w:rPr>
                <w:sz w:val="20"/>
                <w:szCs w:val="20"/>
                <w:color w:val="auto"/>
              </w:rPr>
            </w:pPr>
            <w:r>
              <w:rPr>
                <w:rFonts w:ascii="Arial" w:cs="Arial" w:eastAsia="Arial" w:hAnsi="Arial"/>
                <w:sz w:val="14"/>
                <w:szCs w:val="14"/>
                <w:color w:val="auto"/>
              </w:rPr>
              <w:t>C</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6"/>
        </w:trPr>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8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Jeffrey S. Sloan</w:t>
            </w:r>
          </w:p>
        </w:tc>
        <w:tc>
          <w:tcPr>
            <w:tcW w:w="1160" w:type="dxa"/>
            <w:vAlign w:val="bottom"/>
            <w:tcBorders>
              <w:bottom w:val="single" w:sz="8" w:color="F1F2F2"/>
            </w:tcBorders>
            <w:shd w:val="clear" w:color="auto" w:fill="F1F2F2"/>
          </w:tcPr>
          <w:p>
            <w:pPr>
              <w:spacing w:after="0"/>
              <w:rPr>
                <w:sz w:val="24"/>
                <w:szCs w:val="24"/>
                <w:color w:val="auto"/>
              </w:rPr>
            </w:pPr>
          </w:p>
        </w:tc>
        <w:tc>
          <w:tcPr>
            <w:tcW w:w="980" w:type="dxa"/>
            <w:vAlign w:val="bottom"/>
            <w:tcBorders>
              <w:bottom w:val="single" w:sz="8" w:color="F1F2F2"/>
            </w:tcBorders>
            <w:shd w:val="clear" w:color="auto" w:fill="F1F2F2"/>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F1F2F2"/>
            </w:tcBorders>
            <w:shd w:val="clear" w:color="auto" w:fill="F1F2F2"/>
          </w:tcPr>
          <w:p>
            <w:pPr>
              <w:jc w:val="center"/>
              <w:ind w:left="28"/>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M</w:t>
            </w:r>
          </w:p>
        </w:tc>
        <w:tc>
          <w:tcPr>
            <w:tcW w:w="12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81"/>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Steven T. Stull</w:t>
            </w:r>
          </w:p>
        </w:tc>
        <w:tc>
          <w:tcPr>
            <w:tcW w:w="1160" w:type="dxa"/>
            <w:vAlign w:val="bottom"/>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M</w:t>
            </w:r>
          </w:p>
        </w:tc>
        <w:tc>
          <w:tcPr>
            <w:tcW w:w="1260" w:type="dxa"/>
            <w:vAlign w:val="bottom"/>
          </w:tcPr>
          <w:p>
            <w:pPr>
              <w:jc w:val="center"/>
              <w:spacing w:after="0"/>
              <w:rPr>
                <w:sz w:val="20"/>
                <w:szCs w:val="20"/>
                <w:color w:val="auto"/>
              </w:rPr>
            </w:pPr>
            <w:r>
              <w:rPr>
                <w:rFonts w:ascii="Arial" w:cs="Arial" w:eastAsia="Arial" w:hAnsi="Arial"/>
                <w:sz w:val="14"/>
                <w:szCs w:val="14"/>
                <w:color w:val="auto"/>
              </w:rPr>
              <w:t>M</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6"/>
        </w:trPr>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18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Gerald Throop</w:t>
            </w:r>
          </w:p>
        </w:tc>
        <w:tc>
          <w:tcPr>
            <w:tcW w:w="1160" w:type="dxa"/>
            <w:vAlign w:val="bottom"/>
            <w:tcBorders>
              <w:bottom w:val="single" w:sz="8" w:color="F1F2F2"/>
            </w:tcBorders>
            <w:shd w:val="clear" w:color="auto" w:fill="F1F2F2"/>
          </w:tcPr>
          <w:p>
            <w:pPr>
              <w:spacing w:after="0"/>
              <w:rPr>
                <w:sz w:val="24"/>
                <w:szCs w:val="24"/>
                <w:color w:val="auto"/>
              </w:rPr>
            </w:pPr>
          </w:p>
        </w:tc>
        <w:tc>
          <w:tcPr>
            <w:tcW w:w="980" w:type="dxa"/>
            <w:vAlign w:val="bottom"/>
            <w:tcBorders>
              <w:bottom w:val="single" w:sz="8" w:color="F1F2F2"/>
            </w:tcBorders>
            <w:shd w:val="clear" w:color="auto" w:fill="F1F2F2"/>
          </w:tcPr>
          <w:p>
            <w:pPr>
              <w:jc w:val="center"/>
              <w:ind w:left="108"/>
              <w:spacing w:after="0"/>
              <w:rPr>
                <w:sz w:val="20"/>
                <w:szCs w:val="20"/>
                <w:color w:val="auto"/>
              </w:rPr>
            </w:pPr>
            <w:r>
              <w:rPr>
                <w:rFonts w:ascii="Arial" w:cs="Arial" w:eastAsia="Arial" w:hAnsi="Arial"/>
                <w:sz w:val="14"/>
                <w:szCs w:val="14"/>
                <w:color w:val="auto"/>
                <w:w w:val="99"/>
              </w:rPr>
              <w:t>M, F</w:t>
            </w:r>
          </w:p>
        </w:tc>
        <w:tc>
          <w:tcPr>
            <w:tcW w:w="1360" w:type="dxa"/>
            <w:vAlign w:val="bottom"/>
            <w:tcBorders>
              <w:bottom w:val="single" w:sz="8" w:color="F1F2F2"/>
            </w:tcBorders>
            <w:shd w:val="clear" w:color="auto" w:fill="F1F2F2"/>
          </w:tcPr>
          <w:p>
            <w:pPr>
              <w:jc w:val="center"/>
              <w:ind w:left="68"/>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96"/>
        </w:trPr>
        <w:tc>
          <w:tcPr>
            <w:tcW w:w="1820" w:type="dxa"/>
            <w:vAlign w:val="bottom"/>
            <w:tcBorders>
              <w:top w:val="single" w:sz="8" w:color="C43776"/>
            </w:tcBorders>
          </w:tcPr>
          <w:p>
            <w:pPr>
              <w:ind w:left="140"/>
              <w:spacing w:after="0"/>
              <w:rPr>
                <w:sz w:val="20"/>
                <w:szCs w:val="20"/>
                <w:color w:val="auto"/>
              </w:rPr>
            </w:pPr>
            <w:r>
              <w:rPr>
                <w:rFonts w:ascii="Arial" w:cs="Arial" w:eastAsia="Arial" w:hAnsi="Arial"/>
                <w:sz w:val="14"/>
                <w:szCs w:val="14"/>
                <w:color w:val="auto"/>
              </w:rPr>
              <w:t>C = Chair  M = Member</w:t>
            </w:r>
          </w:p>
        </w:tc>
        <w:tc>
          <w:tcPr>
            <w:tcW w:w="2140" w:type="dxa"/>
            <w:vAlign w:val="bottom"/>
            <w:tcBorders>
              <w:top w:val="single" w:sz="8" w:color="C43776"/>
            </w:tcBorders>
            <w:gridSpan w:val="2"/>
          </w:tcPr>
          <w:p>
            <w:pPr>
              <w:ind w:left="80"/>
              <w:spacing w:after="0"/>
              <w:rPr>
                <w:sz w:val="20"/>
                <w:szCs w:val="20"/>
                <w:color w:val="auto"/>
              </w:rPr>
            </w:pPr>
            <w:r>
              <w:rPr>
                <w:rFonts w:ascii="Arial" w:cs="Arial" w:eastAsia="Arial" w:hAnsi="Arial"/>
                <w:sz w:val="14"/>
                <w:szCs w:val="14"/>
                <w:color w:val="auto"/>
              </w:rPr>
              <w:t>F = Financial Expert</w:t>
            </w:r>
          </w:p>
        </w:tc>
        <w:tc>
          <w:tcPr>
            <w:tcW w:w="1360" w:type="dxa"/>
            <w:vAlign w:val="bottom"/>
            <w:tcBorders>
              <w:top w:val="single" w:sz="8" w:color="C43776"/>
            </w:tcBorders>
          </w:tcPr>
          <w:p>
            <w:pPr>
              <w:spacing w:after="0"/>
              <w:rPr>
                <w:sz w:val="24"/>
                <w:szCs w:val="24"/>
                <w:color w:val="auto"/>
              </w:rPr>
            </w:pPr>
          </w:p>
        </w:tc>
        <w:tc>
          <w:tcPr>
            <w:tcW w:w="1260" w:type="dxa"/>
            <w:vAlign w:val="bottom"/>
            <w:tcBorders>
              <w:top w:val="single" w:sz="8" w:color="C43776"/>
            </w:tcBorders>
          </w:tcPr>
          <w:p>
            <w:pPr>
              <w:spacing w:after="0"/>
              <w:rPr>
                <w:sz w:val="24"/>
                <w:szCs w:val="24"/>
                <w:color w:val="auto"/>
              </w:rPr>
            </w:pPr>
          </w:p>
        </w:tc>
        <w:tc>
          <w:tcPr>
            <w:tcW w:w="1260" w:type="dxa"/>
            <w:vAlign w:val="bottom"/>
            <w:tcBorders>
              <w:top w:val="single" w:sz="8" w:color="C43776"/>
            </w:tcBorders>
          </w:tcPr>
          <w:p>
            <w:pPr>
              <w:spacing w:after="0"/>
              <w:rPr>
                <w:sz w:val="24"/>
                <w:szCs w:val="24"/>
                <w:color w:val="auto"/>
              </w:rPr>
            </w:pPr>
          </w:p>
        </w:tc>
        <w:tc>
          <w:tcPr>
            <w:tcW w:w="1240" w:type="dxa"/>
            <w:vAlign w:val="bottom"/>
            <w:tcBorders>
              <w:top w:val="single" w:sz="8" w:color="C4377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16</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69" w:right="1419" w:bottom="1440" w:gutter="0" w:footer="0" w:header="0"/>
        </w:sectPr>
      </w:pPr>
    </w:p>
    <w:bookmarkStart w:id="22" w:name="page23"/>
    <w:bookmarkEnd w:id="22"/>
    <w:p>
      <w:pPr>
        <w:ind w:left="60"/>
        <w:spacing w:after="0"/>
        <w:tabs>
          <w:tab w:leader="none" w:pos="56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03. 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color w:val="auto"/>
        </w:rPr>
        <w:t>Audit Committee</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audit committee is chaired by Mr. Macchia and also consists of Messrs. Gupta, Jones and Throop. The audit committee held seven meetings in 2025. The Board determined that each member of the audit committee is independent under the NYSE rules and Rule 10A-3 of the Exchange Act, and has determined that Mr. Macchia and Mr. Throop qualify as “audit committee financial experts” under SEC rules.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primary responsibilities include:</w:t>
      </w:r>
    </w:p>
    <w:p>
      <w:pPr>
        <w:spacing w:after="0" w:line="167" w:lineRule="exact"/>
        <w:rPr>
          <w:sz w:val="20"/>
          <w:szCs w:val="20"/>
          <w:color w:val="auto"/>
        </w:rPr>
      </w:pPr>
    </w:p>
    <w:p>
      <w:pPr>
        <w:ind w:left="340" w:right="420" w:hanging="251"/>
        <w:spacing w:after="0" w:line="290" w:lineRule="auto"/>
        <w:tabs>
          <w:tab w:leader="none" w:pos="340" w:val="left"/>
        </w:tabs>
        <w:numPr>
          <w:ilvl w:val="0"/>
          <w:numId w:val="14"/>
        </w:numPr>
        <w:rPr>
          <w:rFonts w:ascii="Arial" w:cs="Arial" w:eastAsia="Arial" w:hAnsi="Arial"/>
          <w:sz w:val="11"/>
          <w:szCs w:val="11"/>
          <w:color w:val="BE1549"/>
        </w:rPr>
      </w:pPr>
      <w:r>
        <w:rPr>
          <w:rFonts w:ascii="Arial" w:cs="Arial" w:eastAsia="Arial" w:hAnsi="Arial"/>
          <w:sz w:val="16"/>
          <w:szCs w:val="16"/>
          <w:color w:val="auto"/>
        </w:rPr>
        <w:t>appointing and overseeing independence of and all other aspects of our relationship with our independent registered accountants</w:t>
      </w:r>
    </w:p>
    <w:p>
      <w:pPr>
        <w:ind w:left="340" w:hanging="251"/>
        <w:spacing w:after="0" w:line="290" w:lineRule="auto"/>
        <w:tabs>
          <w:tab w:leader="none" w:pos="340" w:val="left"/>
        </w:tabs>
        <w:numPr>
          <w:ilvl w:val="0"/>
          <w:numId w:val="14"/>
        </w:numPr>
        <w:rPr>
          <w:rFonts w:ascii="Arial" w:cs="Arial" w:eastAsia="Arial" w:hAnsi="Arial"/>
          <w:sz w:val="11"/>
          <w:szCs w:val="11"/>
          <w:color w:val="BE1549"/>
        </w:rPr>
      </w:pPr>
      <w:r>
        <w:rPr>
          <w:rFonts w:ascii="Arial" w:cs="Arial" w:eastAsia="Arial" w:hAnsi="Arial"/>
          <w:sz w:val="16"/>
          <w:szCs w:val="16"/>
          <w:color w:val="auto"/>
        </w:rPr>
        <w:t>reviewing and monitoring our accounting principles and policies, and our financial and accounting controls and compliance with regulatory requirements</w:t>
      </w:r>
    </w:p>
    <w:p>
      <w:pPr>
        <w:ind w:left="340" w:hanging="251"/>
        <w:spacing w:after="0"/>
        <w:tabs>
          <w:tab w:leader="none" w:pos="340" w:val="left"/>
        </w:tabs>
        <w:numPr>
          <w:ilvl w:val="0"/>
          <w:numId w:val="14"/>
        </w:numPr>
        <w:rPr>
          <w:rFonts w:ascii="Arial" w:cs="Arial" w:eastAsia="Arial" w:hAnsi="Arial"/>
          <w:sz w:val="11"/>
          <w:szCs w:val="11"/>
          <w:color w:val="BE1549"/>
        </w:rPr>
      </w:pPr>
      <w:r>
        <w:rPr>
          <w:rFonts w:ascii="Arial" w:cs="Arial" w:eastAsia="Arial" w:hAnsi="Arial"/>
          <w:sz w:val="16"/>
          <w:szCs w:val="16"/>
          <w:color w:val="auto"/>
        </w:rPr>
        <w:t>overseeing the financial reporting process and reviewing our interim and annual financial statements</w:t>
      </w:r>
    </w:p>
    <w:p>
      <w:pPr>
        <w:spacing w:after="0" w:line="59" w:lineRule="exact"/>
        <w:rPr>
          <w:rFonts w:ascii="Arial" w:cs="Arial" w:eastAsia="Arial" w:hAnsi="Arial"/>
          <w:sz w:val="11"/>
          <w:szCs w:val="11"/>
          <w:color w:val="BE1549"/>
        </w:rPr>
      </w:pPr>
    </w:p>
    <w:p>
      <w:pPr>
        <w:ind w:left="340" w:right="440" w:hanging="251"/>
        <w:spacing w:after="0" w:line="290" w:lineRule="auto"/>
        <w:tabs>
          <w:tab w:leader="none" w:pos="340" w:val="left"/>
        </w:tabs>
        <w:numPr>
          <w:ilvl w:val="0"/>
          <w:numId w:val="14"/>
        </w:numPr>
        <w:rPr>
          <w:rFonts w:ascii="Arial" w:cs="Arial" w:eastAsia="Arial" w:hAnsi="Arial"/>
          <w:sz w:val="11"/>
          <w:szCs w:val="11"/>
          <w:color w:val="BE1549"/>
        </w:rPr>
      </w:pPr>
      <w:r>
        <w:rPr>
          <w:rFonts w:ascii="Arial" w:cs="Arial" w:eastAsia="Arial" w:hAnsi="Arial"/>
          <w:sz w:val="16"/>
          <w:szCs w:val="16"/>
          <w:color w:val="auto"/>
        </w:rPr>
        <w:t>establishing procedures for the confidential, anonymous submission of concerns regarding questionable accounting, internal controls or auditing matters</w:t>
      </w:r>
    </w:p>
    <w:p>
      <w:pPr>
        <w:ind w:left="340" w:hanging="251"/>
        <w:spacing w:after="0"/>
        <w:tabs>
          <w:tab w:leader="none" w:pos="340" w:val="left"/>
        </w:tabs>
        <w:numPr>
          <w:ilvl w:val="0"/>
          <w:numId w:val="14"/>
        </w:numPr>
        <w:rPr>
          <w:rFonts w:ascii="Arial" w:cs="Arial" w:eastAsia="Arial" w:hAnsi="Arial"/>
          <w:sz w:val="11"/>
          <w:szCs w:val="11"/>
          <w:color w:val="BE1549"/>
        </w:rPr>
      </w:pPr>
      <w:r>
        <w:rPr>
          <w:rFonts w:ascii="Arial" w:cs="Arial" w:eastAsia="Arial" w:hAnsi="Arial"/>
          <w:sz w:val="16"/>
          <w:szCs w:val="16"/>
          <w:color w:val="auto"/>
        </w:rPr>
        <w:t>approving all audit and permissible non-audit services to be performed by our independent accountants</w:t>
      </w:r>
    </w:p>
    <w:p>
      <w:pPr>
        <w:spacing w:after="0" w:line="126" w:lineRule="exact"/>
        <w:rPr>
          <w:rFonts w:ascii="Arial" w:cs="Arial" w:eastAsia="Arial" w:hAnsi="Arial"/>
          <w:sz w:val="11"/>
          <w:szCs w:val="11"/>
          <w:color w:val="BE1549"/>
        </w:rPr>
      </w:pPr>
    </w:p>
    <w:p>
      <w:pPr>
        <w:ind w:left="340" w:hanging="251"/>
        <w:spacing w:after="0"/>
        <w:tabs>
          <w:tab w:leader="none" w:pos="340" w:val="left"/>
        </w:tabs>
        <w:numPr>
          <w:ilvl w:val="0"/>
          <w:numId w:val="14"/>
        </w:numPr>
        <w:rPr>
          <w:rFonts w:ascii="Arial" w:cs="Arial" w:eastAsia="Arial" w:hAnsi="Arial"/>
          <w:sz w:val="11"/>
          <w:szCs w:val="11"/>
          <w:color w:val="BE1549"/>
        </w:rPr>
      </w:pPr>
      <w:r>
        <w:rPr>
          <w:rFonts w:ascii="Arial" w:cs="Arial" w:eastAsia="Arial" w:hAnsi="Arial"/>
          <w:sz w:val="16"/>
          <w:szCs w:val="16"/>
          <w:color w:val="auto"/>
        </w:rPr>
        <w:t>reviewing and approving related-party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color w:val="auto"/>
        </w:rPr>
        <w:t>Compensation Committee</w:t>
      </w:r>
    </w:p>
    <w:p>
      <w:pPr>
        <w:spacing w:after="0" w:line="139"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The compensation committee is chaired by Mr. Farrelly and also consists of Mses. Bexiga and Moddelmog and Messrs. Hagerty and Stull. The compensation committee held four meetings in 2025. The Board has determined that each compensation committee member is independent under the NYSE rules for compensation committee members.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committee’s primary responsibilities include:</w:t>
      </w:r>
    </w:p>
    <w:p>
      <w:pPr>
        <w:spacing w:after="0" w:line="167" w:lineRule="exact"/>
        <w:rPr>
          <w:sz w:val="20"/>
          <w:szCs w:val="20"/>
          <w:color w:val="auto"/>
        </w:rPr>
      </w:pPr>
    </w:p>
    <w:p>
      <w:pPr>
        <w:ind w:left="340" w:hanging="251"/>
        <w:spacing w:after="0"/>
        <w:tabs>
          <w:tab w:leader="none" w:pos="340" w:val="left"/>
        </w:tabs>
        <w:numPr>
          <w:ilvl w:val="0"/>
          <w:numId w:val="15"/>
        </w:numPr>
        <w:rPr>
          <w:rFonts w:ascii="Arial" w:cs="Arial" w:eastAsia="Arial" w:hAnsi="Arial"/>
          <w:sz w:val="11"/>
          <w:szCs w:val="11"/>
          <w:color w:val="BE1549"/>
        </w:rPr>
      </w:pPr>
      <w:r>
        <w:rPr>
          <w:rFonts w:ascii="Arial" w:cs="Arial" w:eastAsia="Arial" w:hAnsi="Arial"/>
          <w:sz w:val="16"/>
          <w:szCs w:val="16"/>
          <w:color w:val="auto"/>
        </w:rPr>
        <w:t>annually reviewing and approving the goals, objectives and specific levels of our executive compensation programs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5"/>
        </w:numPr>
        <w:rPr>
          <w:rFonts w:ascii="Arial" w:cs="Arial" w:eastAsia="Arial" w:hAnsi="Arial"/>
          <w:sz w:val="11"/>
          <w:szCs w:val="11"/>
          <w:color w:val="BE1549"/>
        </w:rPr>
      </w:pPr>
      <w:r>
        <w:rPr>
          <w:rFonts w:ascii="Arial" w:cs="Arial" w:eastAsia="Arial" w:hAnsi="Arial"/>
          <w:sz w:val="16"/>
          <w:szCs w:val="16"/>
          <w:color w:val="auto"/>
        </w:rPr>
        <w:t>reviewing and approving employment, severance and change in control arrangements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15"/>
        </w:numPr>
        <w:rPr>
          <w:rFonts w:ascii="Arial" w:cs="Arial" w:eastAsia="Arial" w:hAnsi="Arial"/>
          <w:sz w:val="11"/>
          <w:szCs w:val="11"/>
          <w:color w:val="BE1549"/>
        </w:rPr>
      </w:pPr>
      <w:r>
        <w:rPr>
          <w:rFonts w:ascii="Arial" w:cs="Arial" w:eastAsia="Arial" w:hAnsi="Arial"/>
          <w:sz w:val="16"/>
          <w:szCs w:val="16"/>
          <w:color w:val="auto"/>
        </w:rPr>
        <w:t>administering our executive incentive plans</w:t>
      </w:r>
    </w:p>
    <w:p>
      <w:pPr>
        <w:spacing w:after="0" w:line="59" w:lineRule="exact"/>
        <w:rPr>
          <w:rFonts w:ascii="Arial" w:cs="Arial" w:eastAsia="Arial" w:hAnsi="Arial"/>
          <w:sz w:val="11"/>
          <w:szCs w:val="11"/>
          <w:color w:val="BE1549"/>
        </w:rPr>
      </w:pPr>
    </w:p>
    <w:p>
      <w:pPr>
        <w:ind w:left="340" w:right="440" w:hanging="251"/>
        <w:spacing w:after="0" w:line="290" w:lineRule="auto"/>
        <w:tabs>
          <w:tab w:leader="none" w:pos="340" w:val="left"/>
        </w:tabs>
        <w:numPr>
          <w:ilvl w:val="0"/>
          <w:numId w:val="15"/>
        </w:numPr>
        <w:rPr>
          <w:rFonts w:ascii="Arial" w:cs="Arial" w:eastAsia="Arial" w:hAnsi="Arial"/>
          <w:sz w:val="11"/>
          <w:szCs w:val="11"/>
          <w:color w:val="BE1549"/>
        </w:rPr>
      </w:pPr>
      <w:r>
        <w:rPr>
          <w:rFonts w:ascii="Arial" w:cs="Arial" w:eastAsia="Arial" w:hAnsi="Arial"/>
          <w:sz w:val="16"/>
          <w:szCs w:val="16"/>
          <w:color w:val="auto"/>
        </w:rPr>
        <w:t>reviewing and approving policies related to executive compensation, including stock ownership guidelines, clawback policy and hedging/pledging policy</w:t>
      </w:r>
    </w:p>
    <w:p>
      <w:pPr>
        <w:ind w:left="340" w:hanging="251"/>
        <w:spacing w:after="0"/>
        <w:tabs>
          <w:tab w:leader="none" w:pos="340" w:val="left"/>
        </w:tabs>
        <w:numPr>
          <w:ilvl w:val="0"/>
          <w:numId w:val="15"/>
        </w:numPr>
        <w:rPr>
          <w:rFonts w:ascii="Arial" w:cs="Arial" w:eastAsia="Arial" w:hAnsi="Arial"/>
          <w:sz w:val="11"/>
          <w:szCs w:val="11"/>
          <w:color w:val="BE1549"/>
        </w:rPr>
      </w:pPr>
      <w:r>
        <w:rPr>
          <w:rFonts w:ascii="Arial" w:cs="Arial" w:eastAsia="Arial" w:hAnsi="Arial"/>
          <w:sz w:val="16"/>
          <w:szCs w:val="16"/>
          <w:color w:val="auto"/>
        </w:rPr>
        <w:t>selecting our independent compensation consultant.</w:t>
      </w:r>
    </w:p>
    <w:p>
      <w:pPr>
        <w:spacing w:after="0" w:line="167" w:lineRule="exact"/>
        <w:rPr>
          <w:sz w:val="20"/>
          <w:szCs w:val="20"/>
          <w:color w:val="auto"/>
        </w:rPr>
      </w:pPr>
    </w:p>
    <w:p>
      <w:pPr>
        <w:ind w:right="1000"/>
        <w:spacing w:after="0" w:line="304" w:lineRule="auto"/>
        <w:rPr>
          <w:sz w:val="20"/>
          <w:szCs w:val="20"/>
          <w:color w:val="auto"/>
        </w:rPr>
      </w:pPr>
      <w:r>
        <w:rPr>
          <w:rFonts w:ascii="Arial" w:cs="Arial" w:eastAsia="Arial" w:hAnsi="Arial"/>
          <w:sz w:val="16"/>
          <w:szCs w:val="16"/>
          <w:color w:val="auto"/>
        </w:rPr>
        <w:t>The compensation committee may from time to time delegate all or a portion of its duties and responsibilities to a subcommittee of the compensation committee.</w:t>
      </w:r>
    </w:p>
    <w:p>
      <w:pPr>
        <w:spacing w:after="0" w:line="87"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See “Compensation Discussion and Analysis” for a description of the processes and procedures of the compensation committee, the committee’s role, and the role of our executive officers and the compensation committee’s independent compensation consultant, in determining or recommending the amount or form of compensation for executive officers and directors.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color w:val="auto"/>
        </w:rPr>
        <w:t>Nomination and Governance Committee</w:t>
      </w:r>
    </w:p>
    <w:p>
      <w:pPr>
        <w:spacing w:after="0" w:line="139"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governance committee is chaired by Ms. Moddelmog and also consists of Messrs. Gupta, Jones and Stull. The governance committee held three meetings in 2025.</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committee’s primary responsibilities include:</w:t>
      </w:r>
    </w:p>
    <w:p>
      <w:pPr>
        <w:spacing w:after="0" w:line="167" w:lineRule="exact"/>
        <w:rPr>
          <w:sz w:val="20"/>
          <w:szCs w:val="20"/>
          <w:color w:val="auto"/>
        </w:rPr>
      </w:pPr>
    </w:p>
    <w:p>
      <w:pPr>
        <w:ind w:left="340" w:hanging="251"/>
        <w:spacing w:after="0"/>
        <w:tabs>
          <w:tab w:leader="none" w:pos="340" w:val="left"/>
        </w:tabs>
        <w:numPr>
          <w:ilvl w:val="0"/>
          <w:numId w:val="16"/>
        </w:numPr>
        <w:rPr>
          <w:rFonts w:ascii="Arial" w:cs="Arial" w:eastAsia="Arial" w:hAnsi="Arial"/>
          <w:sz w:val="11"/>
          <w:szCs w:val="11"/>
          <w:color w:val="BE1549"/>
        </w:rPr>
      </w:pPr>
      <w:r>
        <w:rPr>
          <w:rFonts w:ascii="Arial" w:cs="Arial" w:eastAsia="Arial" w:hAnsi="Arial"/>
          <w:sz w:val="16"/>
          <w:szCs w:val="16"/>
          <w:color w:val="auto"/>
        </w:rPr>
        <w:t>overseeing succession planning</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16"/>
        </w:numPr>
        <w:rPr>
          <w:rFonts w:ascii="Arial" w:cs="Arial" w:eastAsia="Arial" w:hAnsi="Arial"/>
          <w:sz w:val="11"/>
          <w:szCs w:val="11"/>
          <w:color w:val="BE1549"/>
        </w:rPr>
      </w:pPr>
      <w:r>
        <w:rPr>
          <w:rFonts w:ascii="Arial" w:cs="Arial" w:eastAsia="Arial" w:hAnsi="Arial"/>
          <w:sz w:val="16"/>
          <w:szCs w:val="16"/>
          <w:color w:val="auto"/>
        </w:rPr>
        <w:t>developing and recommending criteria for selecting new directors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6"/>
        </w:numPr>
        <w:rPr>
          <w:rFonts w:ascii="Arial" w:cs="Arial" w:eastAsia="Arial" w:hAnsi="Arial"/>
          <w:sz w:val="11"/>
          <w:szCs w:val="11"/>
          <w:color w:val="BE1549"/>
        </w:rPr>
      </w:pPr>
      <w:r>
        <w:rPr>
          <w:rFonts w:ascii="Arial" w:cs="Arial" w:eastAsia="Arial" w:hAnsi="Arial"/>
          <w:sz w:val="16"/>
          <w:szCs w:val="16"/>
          <w:color w:val="auto"/>
        </w:rPr>
        <w:t>evaluating individuals and qualifications to become directors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16"/>
        </w:numPr>
        <w:rPr>
          <w:rFonts w:ascii="Arial" w:cs="Arial" w:eastAsia="Arial" w:hAnsi="Arial"/>
          <w:sz w:val="11"/>
          <w:szCs w:val="11"/>
          <w:color w:val="BE1549"/>
        </w:rPr>
      </w:pPr>
      <w:r>
        <w:rPr>
          <w:rFonts w:ascii="Arial" w:cs="Arial" w:eastAsia="Arial" w:hAnsi="Arial"/>
          <w:sz w:val="16"/>
          <w:szCs w:val="16"/>
          <w:color w:val="auto"/>
        </w:rPr>
        <w:t>recommending nominees for committees of the Board</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6"/>
        </w:numPr>
        <w:rPr>
          <w:rFonts w:ascii="Arial" w:cs="Arial" w:eastAsia="Arial" w:hAnsi="Arial"/>
          <w:sz w:val="11"/>
          <w:szCs w:val="11"/>
          <w:color w:val="BE1549"/>
        </w:rPr>
      </w:pPr>
      <w:r>
        <w:rPr>
          <w:rFonts w:ascii="Arial" w:cs="Arial" w:eastAsia="Arial" w:hAnsi="Arial"/>
          <w:sz w:val="16"/>
          <w:szCs w:val="16"/>
          <w:color w:val="auto"/>
        </w:rPr>
        <w:t>assisting the Board with matters concerning corporate governance practices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6"/>
        </w:numPr>
        <w:rPr>
          <w:rFonts w:ascii="Arial" w:cs="Arial" w:eastAsia="Arial" w:hAnsi="Arial"/>
          <w:sz w:val="11"/>
          <w:szCs w:val="11"/>
          <w:color w:val="BE1549"/>
        </w:rPr>
      </w:pPr>
      <w:r>
        <w:rPr>
          <w:rFonts w:ascii="Arial" w:cs="Arial" w:eastAsia="Arial" w:hAnsi="Arial"/>
          <w:sz w:val="16"/>
          <w:szCs w:val="16"/>
          <w:color w:val="auto"/>
        </w:rPr>
        <w:t>overseeing ESG initiatives and similar considerations.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may from time to time delegate all or a portion of its duties and responsibilities to a subcommittee.</w:t>
      </w:r>
    </w:p>
    <w:p>
      <w:pPr>
        <w:spacing w:after="0" w:line="200" w:lineRule="exact"/>
        <w:rPr>
          <w:sz w:val="20"/>
          <w:szCs w:val="20"/>
          <w:color w:val="auto"/>
        </w:rPr>
      </w:pPr>
    </w:p>
    <w:p>
      <w:pPr>
        <w:spacing w:after="0" w:line="336"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17</w:t>
      </w:r>
    </w:p>
    <w:p>
      <w:pPr>
        <w:sectPr>
          <w:pgSz w:w="11900" w:h="16838" w:orient="portrait"/>
          <w:cols w:equalWidth="0" w:num="1">
            <w:col w:w="9080"/>
          </w:cols>
          <w:pgMar w:left="1400" w:top="769" w:right="1419" w:bottom="1440" w:gutter="0" w:footer="0" w:header="0"/>
        </w:sectPr>
      </w:pPr>
    </w:p>
    <w:bookmarkStart w:id="23" w:name="page24"/>
    <w:bookmarkEnd w:id="23"/>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03. CORPORATE GOVERNANCE AND BOARD MATTERS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color w:val="auto"/>
        </w:rPr>
        <w:t>Executive and Acquisitions Committee</w:t>
      </w:r>
    </w:p>
    <w:p>
      <w:pPr>
        <w:spacing w:after="0" w:line="13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The executive and acquisitions committee is chaired by Mr. Clarke and also consists of Messrs. Hagerty, Jones and Sloan. The executive and acquisitions committee held no </w:t>
      </w:r>
      <w:r>
        <w:rPr>
          <w:rFonts w:ascii="Arial" w:cs="Arial" w:eastAsia="Arial" w:hAnsi="Arial"/>
          <w:sz w:val="16"/>
          <w:szCs w:val="16"/>
          <w:color w:val="auto"/>
          <w:highlight w:val="white"/>
        </w:rPr>
        <w:t>meetings</w:t>
      </w:r>
      <w:r>
        <w:rPr>
          <w:rFonts w:ascii="Arial" w:cs="Arial" w:eastAsia="Arial" w:hAnsi="Arial"/>
          <w:sz w:val="16"/>
          <w:szCs w:val="16"/>
          <w:color w:val="auto"/>
        </w:rPr>
        <w:t xml:space="preserve"> in 2025, as all acquisitions were discussed with the full Board. The executive and acquisitions committee is responsible for addressing important Company matters, including capital expenditures, investments, acquisitions, dispositions and financing activities, that the Chair of the Board determines should be addressed before the next scheduled meeting of the Board.</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auto"/>
        </w:rPr>
        <w:t>Information Technology and Security Committee</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information technology and security committee is chaired by Ms. Bexiga and also consists of Messrs. Bunch, Farrelly, Macchia and Sloan. The information technology and security committee held four meetings in 2025. The information technology and security committee is responsible for providing oversight and leadership for our information technology security and cybersecurity, planning processes, policies and objectives. In furtherance of this role, the primary purpose of the committee is to review, assess and make recommendations regarding the long-term strategy for global information security and the evolution of our technology in a competitive environment.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To accomplish this purpose, the information technology and security committee has five primary responsibilities:</w:t>
      </w:r>
    </w:p>
    <w:p>
      <w:pPr>
        <w:spacing w:after="0" w:line="167" w:lineRule="exact"/>
        <w:rPr>
          <w:sz w:val="20"/>
          <w:szCs w:val="20"/>
          <w:color w:val="auto"/>
        </w:rPr>
      </w:pPr>
    </w:p>
    <w:p>
      <w:pPr>
        <w:ind w:left="340" w:right="60" w:hanging="251"/>
        <w:spacing w:after="0" w:line="281" w:lineRule="auto"/>
        <w:tabs>
          <w:tab w:leader="none" w:pos="340" w:val="left"/>
        </w:tabs>
        <w:numPr>
          <w:ilvl w:val="0"/>
          <w:numId w:val="17"/>
        </w:numPr>
        <w:rPr>
          <w:rFonts w:ascii="Arial" w:cs="Arial" w:eastAsia="Arial" w:hAnsi="Arial"/>
          <w:sz w:val="11"/>
          <w:szCs w:val="11"/>
          <w:color w:val="BE1549"/>
        </w:rPr>
      </w:pPr>
      <w:r>
        <w:rPr>
          <w:rFonts w:ascii="Arial" w:cs="Arial" w:eastAsia="Arial" w:hAnsi="Arial"/>
          <w:sz w:val="16"/>
          <w:szCs w:val="16"/>
          <w:color w:val="auto"/>
        </w:rPr>
        <w:t>understanding the security controls and assessments conducted on our major payment platforms and comparing same to industry best practices</w:t>
      </w:r>
    </w:p>
    <w:p>
      <w:pPr>
        <w:spacing w:after="0" w:line="1" w:lineRule="exact"/>
        <w:rPr>
          <w:rFonts w:ascii="Arial" w:cs="Arial" w:eastAsia="Arial" w:hAnsi="Arial"/>
          <w:sz w:val="11"/>
          <w:szCs w:val="11"/>
          <w:color w:val="BE1549"/>
        </w:rPr>
      </w:pPr>
    </w:p>
    <w:p>
      <w:pPr>
        <w:ind w:left="340" w:hanging="251"/>
        <w:spacing w:after="0"/>
        <w:tabs>
          <w:tab w:leader="none" w:pos="340" w:val="left"/>
        </w:tabs>
        <w:numPr>
          <w:ilvl w:val="0"/>
          <w:numId w:val="17"/>
        </w:numPr>
        <w:rPr>
          <w:rFonts w:ascii="Arial" w:cs="Arial" w:eastAsia="Arial" w:hAnsi="Arial"/>
          <w:sz w:val="11"/>
          <w:szCs w:val="11"/>
          <w:color w:val="BE1549"/>
        </w:rPr>
      </w:pPr>
      <w:r>
        <w:rPr>
          <w:rFonts w:ascii="Arial" w:cs="Arial" w:eastAsia="Arial" w:hAnsi="Arial"/>
          <w:sz w:val="16"/>
          <w:szCs w:val="16"/>
          <w:color w:val="auto"/>
        </w:rPr>
        <w:t>evaluating strategies to protect our intellectual property</w:t>
      </w:r>
    </w:p>
    <w:p>
      <w:pPr>
        <w:spacing w:after="0" w:line="45" w:lineRule="exact"/>
        <w:rPr>
          <w:rFonts w:ascii="Arial" w:cs="Arial" w:eastAsia="Arial" w:hAnsi="Arial"/>
          <w:sz w:val="11"/>
          <w:szCs w:val="11"/>
          <w:color w:val="BE1549"/>
        </w:rPr>
      </w:pPr>
    </w:p>
    <w:p>
      <w:pPr>
        <w:ind w:left="340" w:right="100" w:hanging="251"/>
        <w:spacing w:after="0" w:line="281" w:lineRule="auto"/>
        <w:tabs>
          <w:tab w:leader="none" w:pos="340" w:val="left"/>
        </w:tabs>
        <w:numPr>
          <w:ilvl w:val="0"/>
          <w:numId w:val="17"/>
        </w:numPr>
        <w:rPr>
          <w:rFonts w:ascii="Arial" w:cs="Arial" w:eastAsia="Arial" w:hAnsi="Arial"/>
          <w:sz w:val="11"/>
          <w:szCs w:val="11"/>
          <w:color w:val="BE1549"/>
        </w:rPr>
      </w:pPr>
      <w:r>
        <w:rPr>
          <w:rFonts w:ascii="Arial" w:cs="Arial" w:eastAsia="Arial" w:hAnsi="Arial"/>
          <w:sz w:val="16"/>
          <w:szCs w:val="16"/>
          <w:color w:val="auto"/>
        </w:rPr>
        <w:t>assessing opportunities to update our processing platform strategies to ensure the long term effective and efficient use of our resources</w:t>
      </w:r>
    </w:p>
    <w:p>
      <w:pPr>
        <w:spacing w:after="0" w:line="1" w:lineRule="exact"/>
        <w:rPr>
          <w:rFonts w:ascii="Arial" w:cs="Arial" w:eastAsia="Arial" w:hAnsi="Arial"/>
          <w:sz w:val="11"/>
          <w:szCs w:val="11"/>
          <w:color w:val="BE1549"/>
        </w:rPr>
      </w:pPr>
    </w:p>
    <w:p>
      <w:pPr>
        <w:ind w:left="340" w:hanging="251"/>
        <w:spacing w:after="0"/>
        <w:tabs>
          <w:tab w:leader="none" w:pos="340" w:val="left"/>
        </w:tabs>
        <w:numPr>
          <w:ilvl w:val="0"/>
          <w:numId w:val="17"/>
        </w:numPr>
        <w:rPr>
          <w:rFonts w:ascii="Arial" w:cs="Arial" w:eastAsia="Arial" w:hAnsi="Arial"/>
          <w:sz w:val="11"/>
          <w:szCs w:val="11"/>
          <w:color w:val="BE1549"/>
        </w:rPr>
      </w:pPr>
      <w:r>
        <w:rPr>
          <w:rFonts w:ascii="Arial" w:cs="Arial" w:eastAsia="Arial" w:hAnsi="Arial"/>
          <w:sz w:val="16"/>
          <w:szCs w:val="16"/>
          <w:color w:val="auto"/>
        </w:rPr>
        <w:t>reviewing progress on significant IT security and cybersecurity projects and evaluating effectiveness of projects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7"/>
        </w:numPr>
        <w:rPr>
          <w:rFonts w:ascii="Arial" w:cs="Arial" w:eastAsia="Arial" w:hAnsi="Arial"/>
          <w:sz w:val="11"/>
          <w:szCs w:val="11"/>
          <w:color w:val="BE1549"/>
        </w:rPr>
      </w:pPr>
      <w:r>
        <w:rPr>
          <w:rFonts w:ascii="Arial" w:cs="Arial" w:eastAsia="Arial" w:hAnsi="Arial"/>
          <w:sz w:val="16"/>
          <w:szCs w:val="16"/>
          <w:color w:val="auto"/>
        </w:rPr>
        <w:t>overseeing our disaster recovery and business continuity plans</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color w:val="C43776"/>
        </w:rPr>
        <w:t>Risk Oversight</w:t>
      </w:r>
    </w:p>
    <w:p>
      <w:pPr>
        <w:spacing w:after="0" w:line="14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Board, together with its committees, is responsible for overseeing our risk management. The Chair of each committee reports to the full Board the significant risks facing the Company, as identified by management, and the measures undertaken by management for controlling and mitigating those risks.</w:t>
      </w:r>
    </w:p>
    <w:p>
      <w:pPr>
        <w:spacing w:after="0" w:line="124" w:lineRule="exact"/>
        <w:rPr>
          <w:sz w:val="20"/>
          <w:szCs w:val="20"/>
          <w:color w:val="auto"/>
        </w:rPr>
      </w:pPr>
    </w:p>
    <w:p>
      <w:pPr>
        <w:ind w:left="340" w:right="180" w:hanging="251"/>
        <w:spacing w:after="0" w:line="265" w:lineRule="auto"/>
        <w:tabs>
          <w:tab w:leader="none" w:pos="340" w:val="left"/>
        </w:tabs>
        <w:numPr>
          <w:ilvl w:val="0"/>
          <w:numId w:val="18"/>
        </w:numPr>
        <w:rPr>
          <w:rFonts w:ascii="Arial" w:cs="Arial" w:eastAsia="Arial" w:hAnsi="Arial"/>
          <w:sz w:val="11"/>
          <w:szCs w:val="11"/>
          <w:b w:val="1"/>
          <w:bCs w:val="1"/>
          <w:color w:val="BE1549"/>
        </w:rPr>
      </w:pPr>
      <w:r>
        <w:rPr>
          <w:rFonts w:ascii="Arial" w:cs="Arial" w:eastAsia="Arial" w:hAnsi="Arial"/>
          <w:sz w:val="16"/>
          <w:szCs w:val="16"/>
          <w:b w:val="1"/>
          <w:bCs w:val="1"/>
          <w:color w:val="auto"/>
        </w:rPr>
        <w:t xml:space="preserve">The Audit Committee </w:t>
      </w:r>
      <w:r>
        <w:rPr>
          <w:rFonts w:ascii="Arial" w:cs="Arial" w:eastAsia="Arial" w:hAnsi="Arial"/>
          <w:sz w:val="16"/>
          <w:szCs w:val="16"/>
          <w:color w:val="auto"/>
        </w:rPr>
        <w:t>is responsible for reviewing and approving the annual internal audit plan, our major financial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risk exposures, steps taken to monitor and control such exposures, risk management and risk assessment policies, significant findings and recommendations and management’s responses. In addition, our internal audit function routinely performs audits on various aspects of operational risks and reports the results quarterly.</w:t>
      </w:r>
    </w:p>
    <w:p>
      <w:pPr>
        <w:spacing w:after="0" w:line="10" w:lineRule="exact"/>
        <w:rPr>
          <w:rFonts w:ascii="Arial" w:cs="Arial" w:eastAsia="Arial" w:hAnsi="Arial"/>
          <w:sz w:val="11"/>
          <w:szCs w:val="11"/>
          <w:b w:val="1"/>
          <w:bCs w:val="1"/>
          <w:color w:val="BE1549"/>
        </w:rPr>
      </w:pPr>
    </w:p>
    <w:p>
      <w:pPr>
        <w:ind w:left="340" w:right="80" w:hanging="251"/>
        <w:spacing w:after="0" w:line="290" w:lineRule="auto"/>
        <w:tabs>
          <w:tab w:leader="none" w:pos="340" w:val="left"/>
        </w:tabs>
        <w:numPr>
          <w:ilvl w:val="0"/>
          <w:numId w:val="18"/>
        </w:numPr>
        <w:rPr>
          <w:rFonts w:ascii="Arial" w:cs="Arial" w:eastAsia="Arial" w:hAnsi="Arial"/>
          <w:sz w:val="11"/>
          <w:szCs w:val="11"/>
          <w:b w:val="1"/>
          <w:bCs w:val="1"/>
          <w:color w:val="BE1549"/>
        </w:rPr>
      </w:pPr>
      <w:r>
        <w:rPr>
          <w:rFonts w:ascii="Arial" w:cs="Arial" w:eastAsia="Arial" w:hAnsi="Arial"/>
          <w:sz w:val="16"/>
          <w:szCs w:val="16"/>
          <w:b w:val="1"/>
          <w:bCs w:val="1"/>
          <w:color w:val="auto"/>
        </w:rPr>
        <w:t xml:space="preserve">The Compensation Committee </w:t>
      </w:r>
      <w:r>
        <w:rPr>
          <w:rFonts w:ascii="Arial" w:cs="Arial" w:eastAsia="Arial" w:hAnsi="Arial"/>
          <w:sz w:val="16"/>
          <w:szCs w:val="16"/>
          <w:color w:val="auto"/>
        </w:rPr>
        <w:t>considers risks associated with our compensation policies and practices,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both executive compensation and compensation generally.</w:t>
      </w:r>
    </w:p>
    <w:p>
      <w:pPr>
        <w:ind w:left="340" w:right="500" w:hanging="251"/>
        <w:spacing w:after="0" w:line="275" w:lineRule="auto"/>
        <w:tabs>
          <w:tab w:leader="none" w:pos="340" w:val="left"/>
        </w:tabs>
        <w:numPr>
          <w:ilvl w:val="0"/>
          <w:numId w:val="18"/>
        </w:numPr>
        <w:rPr>
          <w:rFonts w:ascii="Arial" w:cs="Arial" w:eastAsia="Arial" w:hAnsi="Arial"/>
          <w:sz w:val="11"/>
          <w:szCs w:val="11"/>
          <w:b w:val="1"/>
          <w:bCs w:val="1"/>
          <w:color w:val="BE1549"/>
        </w:rPr>
      </w:pPr>
      <w:r>
        <w:rPr>
          <w:rFonts w:ascii="Arial" w:cs="Arial" w:eastAsia="Arial" w:hAnsi="Arial"/>
          <w:sz w:val="16"/>
          <w:szCs w:val="16"/>
          <w:b w:val="1"/>
          <w:bCs w:val="1"/>
          <w:color w:val="auto"/>
        </w:rPr>
        <w:t xml:space="preserve">The Governance Committee </w:t>
      </w:r>
      <w:r>
        <w:rPr>
          <w:rFonts w:ascii="Arial" w:cs="Arial" w:eastAsia="Arial" w:hAnsi="Arial"/>
          <w:sz w:val="16"/>
          <w:szCs w:val="16"/>
          <w:color w:val="auto"/>
        </w:rPr>
        <w:t>is responsible for succession planning, governance structure and processes, ESG</w:t>
      </w:r>
      <w:r>
        <w:rPr>
          <w:rFonts w:ascii="Arial" w:cs="Arial" w:eastAsia="Arial" w:hAnsi="Arial"/>
          <w:sz w:val="16"/>
          <w:szCs w:val="16"/>
          <w:b w:val="1"/>
          <w:bCs w:val="1"/>
          <w:color w:val="auto"/>
        </w:rPr>
        <w:t xml:space="preserve"> </w:t>
      </w:r>
      <w:r>
        <w:rPr>
          <w:rFonts w:ascii="Arial" w:cs="Arial" w:eastAsia="Arial" w:hAnsi="Arial"/>
          <w:sz w:val="16"/>
          <w:szCs w:val="16"/>
          <w:color w:val="auto"/>
        </w:rPr>
        <w:t>initiatives and considerations, legal and policy matters with potential significant reputational impact and shareholder concerns.</w:t>
      </w:r>
    </w:p>
    <w:p>
      <w:pPr>
        <w:spacing w:after="0" w:line="2" w:lineRule="exact"/>
        <w:rPr>
          <w:rFonts w:ascii="Arial" w:cs="Arial" w:eastAsia="Arial" w:hAnsi="Arial"/>
          <w:sz w:val="11"/>
          <w:szCs w:val="11"/>
          <w:b w:val="1"/>
          <w:bCs w:val="1"/>
          <w:color w:val="BE1549"/>
        </w:rPr>
      </w:pPr>
    </w:p>
    <w:p>
      <w:pPr>
        <w:ind w:left="340" w:hanging="251"/>
        <w:spacing w:after="0" w:line="262" w:lineRule="auto"/>
        <w:tabs>
          <w:tab w:leader="none" w:pos="340" w:val="left"/>
        </w:tabs>
        <w:numPr>
          <w:ilvl w:val="0"/>
          <w:numId w:val="18"/>
        </w:numPr>
        <w:rPr>
          <w:rFonts w:ascii="Arial" w:cs="Arial" w:eastAsia="Arial" w:hAnsi="Arial"/>
          <w:sz w:val="11"/>
          <w:szCs w:val="11"/>
          <w:b w:val="1"/>
          <w:bCs w:val="1"/>
          <w:color w:val="BE1549"/>
        </w:rPr>
      </w:pPr>
      <w:r>
        <w:rPr>
          <w:rFonts w:ascii="Arial" w:cs="Arial" w:eastAsia="Arial" w:hAnsi="Arial"/>
          <w:sz w:val="16"/>
          <w:szCs w:val="16"/>
          <w:b w:val="1"/>
          <w:bCs w:val="1"/>
          <w:color w:val="auto"/>
        </w:rPr>
        <w:t xml:space="preserve">The Information Technology and Security Committee </w:t>
      </w:r>
      <w:r>
        <w:rPr>
          <w:rFonts w:ascii="Arial" w:cs="Arial" w:eastAsia="Arial" w:hAnsi="Arial"/>
          <w:sz w:val="16"/>
          <w:szCs w:val="16"/>
          <w:color w:val="auto"/>
        </w:rPr>
        <w:t>focuses on risks associated with information technology and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such as cybersecurity, security controls, technology initiatives and intellectual property protection. The information technology and security committee conducts reviews at least quarterly to oversee the efficacy of cybersecurity risk initiatives and related controls, policies, procedures, training, preparedness and governance structure. The Board and the information technology and security committee directed the formation of a cross-functional cybersecurity council at the Company, and receive regular cybersecurity reports from the global Chief Information Officer (CIO), the corporate CIO and the Chief Information Security Officer, among others.</w:t>
      </w:r>
    </w:p>
    <w:p>
      <w:pPr>
        <w:spacing w:after="0" w:line="12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Board, with input from the various committees and senior management, regularly engages in discussing the most significant risks and how the risks are being managed. Our management team is responsible for identifying and working with the Board to manage business risk and design a risk framework, including setting boundaries and monitoring risk appetite. We believe that our leadership structure, as described above, supports the risk oversight function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18</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69" w:right="1419" w:bottom="1440" w:gutter="0" w:footer="0" w:header="0"/>
        </w:sectPr>
      </w:pPr>
    </w:p>
    <w:bookmarkStart w:id="24" w:name="page25"/>
    <w:bookmarkEnd w:id="24"/>
    <w:p>
      <w:pPr>
        <w:ind w:left="60"/>
        <w:spacing w:after="0"/>
        <w:tabs>
          <w:tab w:leader="none" w:pos="56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03. 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Board Leadership Structure</w:t>
      </w:r>
    </w:p>
    <w:p>
      <w:pPr>
        <w:spacing w:after="0" w:line="159" w:lineRule="exact"/>
        <w:rPr>
          <w:sz w:val="20"/>
          <w:szCs w:val="20"/>
          <w:color w:val="auto"/>
        </w:rPr>
      </w:pPr>
    </w:p>
    <w:p>
      <w:pPr>
        <w:ind w:right="19"/>
        <w:spacing w:after="0" w:line="261" w:lineRule="auto"/>
        <w:rPr>
          <w:sz w:val="20"/>
          <w:szCs w:val="20"/>
          <w:color w:val="auto"/>
        </w:rPr>
      </w:pPr>
      <w:r>
        <w:rPr>
          <w:rFonts w:ascii="Arial" w:cs="Arial" w:eastAsia="Arial" w:hAnsi="Arial"/>
          <w:sz w:val="16"/>
          <w:szCs w:val="16"/>
          <w:color w:val="auto"/>
        </w:rPr>
        <w:t>The Board does not have a policy on whether the role of CEO and Chair should be separate. The Board believes that it should have the flexibility to consider all relevant factors and select the most appropriate leadership structure for the Company’s circumstances, at any given time. Mr. Clarke currently serves as the Company's CEO and Chair. The Board believes our leadership structure, with Mr. Clarke serving in these roles, enhances the Board’s effectiveness in fulfilling its oversight responsibilities, including with respect to the Company’s risk exposures, due to his broad experience with and extensive knowledge of our operations.</w:t>
      </w:r>
    </w:p>
    <w:p>
      <w:pPr>
        <w:spacing w:after="0" w:line="122" w:lineRule="exact"/>
        <w:rPr>
          <w:sz w:val="20"/>
          <w:szCs w:val="20"/>
          <w:color w:val="auto"/>
        </w:rPr>
      </w:pPr>
    </w:p>
    <w:p>
      <w:pPr>
        <w:ind w:right="39"/>
        <w:spacing w:after="0" w:line="275" w:lineRule="auto"/>
        <w:rPr>
          <w:sz w:val="20"/>
          <w:szCs w:val="20"/>
          <w:color w:val="auto"/>
        </w:rPr>
      </w:pPr>
      <w:r>
        <w:rPr>
          <w:rFonts w:ascii="Arial" w:cs="Arial" w:eastAsia="Arial" w:hAnsi="Arial"/>
          <w:sz w:val="16"/>
          <w:szCs w:val="16"/>
          <w:color w:val="auto"/>
        </w:rPr>
        <w:t>At any time that the role of Chair is held by the CEO, or for any other reason the Chair is not an independent director, the non-employee directors elect one of the non-employee directors to serve as Lead Independent Director. Mr. Stull currently serves as the Company's Lead Independent Director. The Lead Independent Director has the following powers and responsibilities:</w:t>
      </w:r>
    </w:p>
    <w:p>
      <w:pPr>
        <w:spacing w:after="0" w:line="110" w:lineRule="exact"/>
        <w:rPr>
          <w:sz w:val="20"/>
          <w:szCs w:val="20"/>
          <w:color w:val="auto"/>
        </w:rPr>
      </w:pPr>
    </w:p>
    <w:p>
      <w:pPr>
        <w:ind w:left="340" w:hanging="251"/>
        <w:spacing w:after="0"/>
        <w:tabs>
          <w:tab w:leader="none" w:pos="340" w:val="left"/>
        </w:tabs>
        <w:numPr>
          <w:ilvl w:val="0"/>
          <w:numId w:val="19"/>
        </w:numPr>
        <w:rPr>
          <w:rFonts w:ascii="Arial" w:cs="Arial" w:eastAsia="Arial" w:hAnsi="Arial"/>
          <w:sz w:val="11"/>
          <w:szCs w:val="11"/>
          <w:color w:val="BE1549"/>
        </w:rPr>
      </w:pPr>
      <w:r>
        <w:rPr>
          <w:rFonts w:ascii="Arial" w:cs="Arial" w:eastAsia="Arial" w:hAnsi="Arial"/>
          <w:sz w:val="16"/>
          <w:szCs w:val="16"/>
          <w:color w:val="auto"/>
        </w:rPr>
        <w:t>Preside at all meetings of the Board at which the Chair or any Vice Chair of the Board is not present;</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19"/>
        </w:numPr>
        <w:rPr>
          <w:rFonts w:ascii="Arial" w:cs="Arial" w:eastAsia="Arial" w:hAnsi="Arial"/>
          <w:sz w:val="11"/>
          <w:szCs w:val="11"/>
          <w:color w:val="BE1549"/>
        </w:rPr>
      </w:pPr>
      <w:r>
        <w:rPr>
          <w:rFonts w:ascii="Arial" w:cs="Arial" w:eastAsia="Arial" w:hAnsi="Arial"/>
          <w:sz w:val="16"/>
          <w:szCs w:val="16"/>
          <w:color w:val="auto"/>
        </w:rPr>
        <w:t>Preside over executive sessions of the non-employee directors;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9"/>
        </w:numPr>
        <w:rPr>
          <w:rFonts w:ascii="Arial" w:cs="Arial" w:eastAsia="Arial" w:hAnsi="Arial"/>
          <w:sz w:val="11"/>
          <w:szCs w:val="11"/>
          <w:color w:val="BE1549"/>
        </w:rPr>
      </w:pPr>
      <w:r>
        <w:rPr>
          <w:rFonts w:ascii="Arial" w:cs="Arial" w:eastAsia="Arial" w:hAnsi="Arial"/>
          <w:sz w:val="16"/>
          <w:szCs w:val="16"/>
          <w:color w:val="auto"/>
        </w:rPr>
        <w:t>Serve as liaison between the non-employee directors and the Chair and the CEO;</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19"/>
        </w:numPr>
        <w:rPr>
          <w:rFonts w:ascii="Arial" w:cs="Arial" w:eastAsia="Arial" w:hAnsi="Arial"/>
          <w:sz w:val="11"/>
          <w:szCs w:val="11"/>
          <w:color w:val="BE1549"/>
        </w:rPr>
      </w:pPr>
      <w:r>
        <w:rPr>
          <w:rFonts w:ascii="Arial" w:cs="Arial" w:eastAsia="Arial" w:hAnsi="Arial"/>
          <w:sz w:val="16"/>
          <w:szCs w:val="16"/>
          <w:color w:val="auto"/>
        </w:rPr>
        <w:t>Call meetings of non-employee directors, with appropriate notice;</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9"/>
        </w:numPr>
        <w:rPr>
          <w:rFonts w:ascii="Arial" w:cs="Arial" w:eastAsia="Arial" w:hAnsi="Arial"/>
          <w:sz w:val="11"/>
          <w:szCs w:val="11"/>
          <w:color w:val="BE1549"/>
        </w:rPr>
      </w:pPr>
      <w:r>
        <w:rPr>
          <w:rFonts w:ascii="Arial" w:cs="Arial" w:eastAsia="Arial" w:hAnsi="Arial"/>
          <w:sz w:val="16"/>
          <w:szCs w:val="16"/>
          <w:color w:val="auto"/>
        </w:rPr>
        <w:t>Coordinate with the Chair and CEO on meeting schedules, agendas and information provided to the Board;</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19"/>
        </w:numPr>
        <w:rPr>
          <w:rFonts w:ascii="Arial" w:cs="Arial" w:eastAsia="Arial" w:hAnsi="Arial"/>
          <w:sz w:val="11"/>
          <w:szCs w:val="11"/>
          <w:color w:val="BE1549"/>
        </w:rPr>
      </w:pPr>
      <w:r>
        <w:rPr>
          <w:rFonts w:ascii="Arial" w:cs="Arial" w:eastAsia="Arial" w:hAnsi="Arial"/>
          <w:sz w:val="16"/>
          <w:szCs w:val="16"/>
          <w:color w:val="auto"/>
        </w:rPr>
        <w:t>Be available for consultation with significant stockholders if so requested; and</w:t>
      </w:r>
    </w:p>
    <w:p>
      <w:pPr>
        <w:spacing w:after="0" w:line="72" w:lineRule="exact"/>
        <w:rPr>
          <w:rFonts w:ascii="Arial" w:cs="Arial" w:eastAsia="Arial" w:hAnsi="Arial"/>
          <w:sz w:val="11"/>
          <w:szCs w:val="11"/>
          <w:color w:val="BE1549"/>
        </w:rPr>
      </w:pPr>
    </w:p>
    <w:p>
      <w:pPr>
        <w:ind w:left="340" w:right="159" w:hanging="251"/>
        <w:spacing w:after="0" w:line="286" w:lineRule="auto"/>
        <w:tabs>
          <w:tab w:leader="none" w:pos="340" w:val="left"/>
        </w:tabs>
        <w:numPr>
          <w:ilvl w:val="0"/>
          <w:numId w:val="19"/>
        </w:numPr>
        <w:rPr>
          <w:rFonts w:ascii="Arial" w:cs="Arial" w:eastAsia="Arial" w:hAnsi="Arial"/>
          <w:sz w:val="11"/>
          <w:szCs w:val="11"/>
          <w:color w:val="BE1549"/>
        </w:rPr>
      </w:pPr>
      <w:r>
        <w:rPr>
          <w:rFonts w:ascii="Arial" w:cs="Arial" w:eastAsia="Arial" w:hAnsi="Arial"/>
          <w:sz w:val="16"/>
          <w:szCs w:val="16"/>
          <w:color w:val="auto"/>
        </w:rPr>
        <w:t>Exercise and perform such other powers and duties as may be assigned to the Lead Independent Director by the Board from time to time.</w:t>
      </w:r>
    </w:p>
    <w:p>
      <w:pPr>
        <w:spacing w:after="0" w:line="115" w:lineRule="exact"/>
        <w:rPr>
          <w:sz w:val="20"/>
          <w:szCs w:val="20"/>
          <w:color w:val="auto"/>
        </w:rPr>
      </w:pPr>
    </w:p>
    <w:p>
      <w:pPr>
        <w:ind w:right="179"/>
        <w:spacing w:after="0" w:line="265" w:lineRule="auto"/>
        <w:rPr>
          <w:sz w:val="20"/>
          <w:szCs w:val="20"/>
          <w:color w:val="auto"/>
        </w:rPr>
      </w:pPr>
      <w:r>
        <w:rPr>
          <w:rFonts w:ascii="Arial" w:cs="Arial" w:eastAsia="Arial" w:hAnsi="Arial"/>
          <w:sz w:val="16"/>
          <w:szCs w:val="16"/>
          <w:color w:val="auto"/>
        </w:rPr>
        <w:t>The Board believes Mr. Stull has effectively leveraged his experience to provide leadership and help guide the Board’s independent oversight of the Company’s risk exposures through the Lead Independent Director role in collaborating with the Chair and approving Board meeting agendas, chairing executive sessions of the non-employee directors, and facilitating communications between the non-employee directors and the Chair.</w:t>
      </w:r>
    </w:p>
    <w:p>
      <w:pPr>
        <w:spacing w:after="0" w:line="91" w:lineRule="exact"/>
        <w:rPr>
          <w:sz w:val="20"/>
          <w:szCs w:val="20"/>
          <w:color w:val="auto"/>
        </w:rPr>
      </w:pPr>
    </w:p>
    <w:p>
      <w:pPr>
        <w:spacing w:after="0"/>
        <w:rPr>
          <w:sz w:val="20"/>
          <w:szCs w:val="20"/>
          <w:color w:val="auto"/>
        </w:rPr>
      </w:pPr>
      <w:r>
        <w:rPr>
          <w:rFonts w:ascii="Arial" w:cs="Arial" w:eastAsia="Arial" w:hAnsi="Arial"/>
          <w:sz w:val="32"/>
          <w:szCs w:val="32"/>
          <w:color w:val="C43776"/>
        </w:rPr>
        <w:t>Director Independence</w:t>
      </w:r>
    </w:p>
    <w:p>
      <w:pPr>
        <w:spacing w:after="0" w:line="159" w:lineRule="exact"/>
        <w:rPr>
          <w:sz w:val="20"/>
          <w:szCs w:val="20"/>
          <w:color w:val="auto"/>
        </w:rPr>
      </w:pPr>
    </w:p>
    <w:p>
      <w:pPr>
        <w:ind w:right="119"/>
        <w:spacing w:after="0" w:line="261" w:lineRule="auto"/>
        <w:rPr>
          <w:sz w:val="20"/>
          <w:szCs w:val="20"/>
          <w:color w:val="auto"/>
        </w:rPr>
      </w:pPr>
      <w:r>
        <w:rPr>
          <w:rFonts w:ascii="Arial" w:cs="Arial" w:eastAsia="Arial" w:hAnsi="Arial"/>
          <w:sz w:val="16"/>
          <w:szCs w:val="16"/>
          <w:color w:val="auto"/>
        </w:rPr>
        <w:t>Our corporate governance guidelines provide that a majority of our directors will be independent. Our Board has adopted director independence guidelines to assist in determining each director’s independence. These guidelines are included in our corporate governance guidelines available on our website at https://investor.corpay.com. The guidelines exceed the independence requirements of the NYSE. Under the director independence guidelines and NYSE rules, the Board must annually review each director’s independence and affirmatively determine a director has no relationship that would interfere with the exercise of independent judgment in carrying out the responsibilities of a director.</w:t>
      </w:r>
    </w:p>
    <w:p>
      <w:pPr>
        <w:spacing w:after="0" w:line="122" w:lineRule="exact"/>
        <w:rPr>
          <w:sz w:val="20"/>
          <w:szCs w:val="20"/>
          <w:color w:val="auto"/>
        </w:rPr>
      </w:pPr>
    </w:p>
    <w:p>
      <w:pPr>
        <w:ind w:right="39"/>
        <w:spacing w:after="0" w:line="275" w:lineRule="auto"/>
        <w:rPr>
          <w:sz w:val="20"/>
          <w:szCs w:val="20"/>
          <w:color w:val="auto"/>
        </w:rPr>
      </w:pPr>
      <w:r>
        <w:rPr>
          <w:rFonts w:ascii="Arial" w:cs="Arial" w:eastAsia="Arial" w:hAnsi="Arial"/>
          <w:sz w:val="16"/>
          <w:szCs w:val="16"/>
          <w:color w:val="auto"/>
        </w:rPr>
        <w:t>The Board has analyzed the independence of each director and determined that, except for our CEO, they each meet the standards of independence under our director independence standards, and applicable NYSE listing rules, including that each member is free of any relationship that would interfere with their individual exercise of independent judgment.</w:t>
      </w:r>
    </w:p>
    <w:p>
      <w:pPr>
        <w:spacing w:after="0" w:line="96" w:lineRule="exact"/>
        <w:rPr>
          <w:sz w:val="20"/>
          <w:szCs w:val="20"/>
          <w:color w:val="auto"/>
        </w:rPr>
      </w:pPr>
    </w:p>
    <w:p>
      <w:pPr>
        <w:spacing w:after="0"/>
        <w:rPr>
          <w:sz w:val="20"/>
          <w:szCs w:val="20"/>
          <w:color w:val="auto"/>
        </w:rPr>
      </w:pPr>
      <w:r>
        <w:rPr>
          <w:rFonts w:ascii="Arial" w:cs="Arial" w:eastAsia="Arial" w:hAnsi="Arial"/>
          <w:sz w:val="32"/>
          <w:szCs w:val="32"/>
          <w:color w:val="C43776"/>
        </w:rPr>
        <w:t>2025 Director Compensation</w:t>
      </w:r>
    </w:p>
    <w:p>
      <w:pPr>
        <w:spacing w:after="0" w:line="146" w:lineRule="exact"/>
        <w:rPr>
          <w:sz w:val="20"/>
          <w:szCs w:val="20"/>
          <w:color w:val="auto"/>
        </w:rPr>
      </w:pPr>
    </w:p>
    <w:p>
      <w:pPr>
        <w:ind w:right="99"/>
        <w:spacing w:after="0" w:line="275" w:lineRule="auto"/>
        <w:rPr>
          <w:sz w:val="20"/>
          <w:szCs w:val="20"/>
          <w:color w:val="auto"/>
        </w:rPr>
      </w:pPr>
      <w:r>
        <w:rPr>
          <w:rFonts w:ascii="Arial" w:cs="Arial" w:eastAsia="Arial" w:hAnsi="Arial"/>
          <w:sz w:val="16"/>
          <w:szCs w:val="16"/>
          <w:color w:val="auto"/>
        </w:rPr>
        <w:t>The non-employee members of our Board receive compensation for serving as directors. Our Board believes equity-based awards are appropriate forms of compensation for our directors because the value of the grants increases as the value of our stock price increases, aligning the interests of these directors with those of our shareholders.</w:t>
      </w:r>
    </w:p>
    <w:p>
      <w:pPr>
        <w:spacing w:after="0" w:line="124" w:lineRule="exact"/>
        <w:rPr>
          <w:sz w:val="20"/>
          <w:szCs w:val="20"/>
          <w:color w:val="auto"/>
        </w:rPr>
      </w:pPr>
    </w:p>
    <w:p>
      <w:pPr>
        <w:ind w:right="59"/>
        <w:spacing w:after="0" w:line="259" w:lineRule="auto"/>
        <w:rPr>
          <w:sz w:val="20"/>
          <w:szCs w:val="20"/>
          <w:color w:val="auto"/>
        </w:rPr>
      </w:pPr>
      <w:r>
        <w:rPr>
          <w:rFonts w:ascii="Arial" w:cs="Arial" w:eastAsia="Arial" w:hAnsi="Arial"/>
          <w:sz w:val="16"/>
          <w:szCs w:val="16"/>
          <w:color w:val="auto"/>
        </w:rPr>
        <w:t>Annual grants for director service for 2025 generally had a target value at grant of approximately $300,000. The amount of these grants was determined based on our Board’s general experience with market levels of director compensation. In addition, the Board approved a cash payment in the amount of $75,000 for each committee Chair serving in such capacity in February 2025 and our Lead Independent Director (Mses. Bexiga and Moddelmog and Messrs. Farrelly, Macchia and Stull). The decision to provide cash compensation is reviewed on an annual basis. All members of our Board are reimbursed for actual expenses incurred in connection with attendance at Board meetings. Mr. Clarke does not receive any compensation for service on our Board.</w:t>
      </w:r>
    </w:p>
    <w:p>
      <w:pPr>
        <w:spacing w:after="0" w:line="122" w:lineRule="exact"/>
        <w:rPr>
          <w:sz w:val="20"/>
          <w:szCs w:val="20"/>
          <w:color w:val="auto"/>
        </w:rPr>
      </w:pPr>
    </w:p>
    <w:p>
      <w:pPr>
        <w:ind w:right="119"/>
        <w:spacing w:after="0" w:line="271" w:lineRule="auto"/>
        <w:rPr>
          <w:sz w:val="20"/>
          <w:szCs w:val="20"/>
          <w:color w:val="auto"/>
        </w:rPr>
      </w:pPr>
      <w:r>
        <w:rPr>
          <w:rFonts w:ascii="Arial" w:cs="Arial" w:eastAsia="Arial" w:hAnsi="Arial"/>
          <w:sz w:val="16"/>
          <w:szCs w:val="16"/>
          <w:color w:val="auto"/>
        </w:rPr>
        <w:t>For 2025, each of our non-employee directors had the ability to elect to receive a grant of restricted stock or stock options for his or her annual equity compensation award. Messrs. Hagerty and Stull opted for an equity compensation award in the form of stock options, and each of the remaining non-employee directors opted for an equity compensation award in the form of restricted stock.</w:t>
      </w:r>
    </w:p>
    <w:p>
      <w:pPr>
        <w:spacing w:after="0" w:line="200" w:lineRule="exact"/>
        <w:rPr>
          <w:sz w:val="20"/>
          <w:szCs w:val="20"/>
          <w:color w:val="auto"/>
        </w:rPr>
      </w:pPr>
    </w:p>
    <w:p>
      <w:pPr>
        <w:spacing w:after="0" w:line="216"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19</w:t>
      </w:r>
    </w:p>
    <w:p>
      <w:pPr>
        <w:sectPr>
          <w:pgSz w:w="11900" w:h="16838" w:orient="portrait"/>
          <w:cols w:equalWidth="0" w:num="1">
            <w:col w:w="9059"/>
          </w:cols>
          <w:pgMar w:left="1400" w:top="769" w:right="1440" w:bottom="1440" w:gutter="0" w:footer="0" w:header="0"/>
        </w:sectPr>
      </w:pPr>
    </w:p>
    <w:bookmarkStart w:id="25" w:name="page26"/>
    <w:bookmarkEnd w:id="25"/>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03. CORPORATE GOVERNANCE AND BOARD MATTERS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corporate governance guidelines set forth an expectation that all non-employee directors will hold at least a specified dollar value of common shares or equity interests within five years of becoming a director. In 2019, our Board increased the stock ownership guideline from $150,000 to $1,250,000. Based on the closing stock price on December 31, 2025, seven of our current non-employee directors are in compliance with this guideline and we expect that our four newest non-employee directors will meet the guideline within five years of their election as directors, or as soon as practical, as required by our corporate governance guidelines.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3160" w:type="dxa"/>
            <w:vAlign w:val="bottom"/>
            <w:shd w:val="clear" w:color="auto" w:fill="C43776"/>
          </w:tcPr>
          <w:p>
            <w:pPr>
              <w:spacing w:after="0"/>
              <w:rPr>
                <w:sz w:val="24"/>
                <w:szCs w:val="24"/>
                <w:color w:val="auto"/>
              </w:rPr>
            </w:pPr>
          </w:p>
        </w:tc>
        <w:tc>
          <w:tcPr>
            <w:tcW w:w="2000" w:type="dxa"/>
            <w:vAlign w:val="bottom"/>
            <w:shd w:val="clear" w:color="auto" w:fill="C43776"/>
          </w:tcPr>
          <w:p>
            <w:pPr>
              <w:jc w:val="right"/>
              <w:ind w:right="368"/>
              <w:spacing w:after="0"/>
              <w:rPr>
                <w:sz w:val="20"/>
                <w:szCs w:val="20"/>
                <w:color w:val="auto"/>
              </w:rPr>
            </w:pPr>
            <w:r>
              <w:rPr>
                <w:rFonts w:ascii="Arial" w:cs="Arial" w:eastAsia="Arial" w:hAnsi="Arial"/>
                <w:sz w:val="14"/>
                <w:szCs w:val="14"/>
                <w:b w:val="1"/>
                <w:bCs w:val="1"/>
                <w:color w:val="FFFFFF"/>
              </w:rPr>
              <w:t>Fees Earned or</w:t>
            </w:r>
          </w:p>
        </w:tc>
        <w:tc>
          <w:tcPr>
            <w:tcW w:w="144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Stock</w:t>
            </w:r>
          </w:p>
        </w:tc>
        <w:tc>
          <w:tcPr>
            <w:tcW w:w="1400" w:type="dxa"/>
            <w:vAlign w:val="bottom"/>
            <w:shd w:val="clear" w:color="auto" w:fill="C43776"/>
          </w:tcPr>
          <w:p>
            <w:pPr>
              <w:jc w:val="right"/>
              <w:ind w:right="348"/>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C43776"/>
          </w:tcPr>
          <w:p>
            <w:pPr>
              <w:spacing w:after="0"/>
              <w:rPr>
                <w:sz w:val="24"/>
                <w:szCs w:val="24"/>
                <w:color w:val="auto"/>
              </w:rPr>
            </w:pPr>
          </w:p>
        </w:tc>
      </w:tr>
      <w:tr>
        <w:trPr>
          <w:trHeight w:val="178"/>
        </w:trPr>
        <w:tc>
          <w:tcPr>
            <w:tcW w:w="3160" w:type="dxa"/>
            <w:vAlign w:val="bottom"/>
            <w:shd w:val="clear" w:color="auto" w:fill="C43776"/>
          </w:tcPr>
          <w:p>
            <w:pPr>
              <w:spacing w:after="0"/>
              <w:rPr>
                <w:sz w:val="15"/>
                <w:szCs w:val="15"/>
                <w:color w:val="auto"/>
              </w:rPr>
            </w:pPr>
          </w:p>
        </w:tc>
        <w:tc>
          <w:tcPr>
            <w:tcW w:w="2000" w:type="dxa"/>
            <w:vAlign w:val="bottom"/>
            <w:shd w:val="clear" w:color="auto" w:fill="C43776"/>
          </w:tcPr>
          <w:p>
            <w:pPr>
              <w:jc w:val="right"/>
              <w:ind w:right="368"/>
              <w:spacing w:after="0"/>
              <w:rPr>
                <w:sz w:val="20"/>
                <w:szCs w:val="20"/>
                <w:color w:val="auto"/>
              </w:rPr>
            </w:pPr>
            <w:r>
              <w:rPr>
                <w:rFonts w:ascii="Arial" w:cs="Arial" w:eastAsia="Arial" w:hAnsi="Arial"/>
                <w:sz w:val="14"/>
                <w:szCs w:val="14"/>
                <w:b w:val="1"/>
                <w:bCs w:val="1"/>
                <w:color w:val="FFFFFF"/>
              </w:rPr>
              <w:t>Paid in Cash</w:t>
            </w:r>
          </w:p>
        </w:tc>
        <w:tc>
          <w:tcPr>
            <w:tcW w:w="1440" w:type="dxa"/>
            <w:vAlign w:val="bottom"/>
            <w:shd w:val="clear" w:color="auto" w:fill="C43776"/>
          </w:tcPr>
          <w:p>
            <w:pPr>
              <w:jc w:val="right"/>
              <w:ind w:right="288"/>
              <w:spacing w:after="0" w:line="178"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(1)</w:t>
            </w:r>
          </w:p>
        </w:tc>
        <w:tc>
          <w:tcPr>
            <w:tcW w:w="1400" w:type="dxa"/>
            <w:vAlign w:val="bottom"/>
            <w:shd w:val="clear" w:color="auto" w:fill="C43776"/>
          </w:tcPr>
          <w:p>
            <w:pPr>
              <w:jc w:val="right"/>
              <w:ind w:right="348"/>
              <w:spacing w:after="0" w:line="178"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(2)</w:t>
            </w:r>
          </w:p>
        </w:tc>
        <w:tc>
          <w:tcPr>
            <w:tcW w:w="108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Total</w:t>
            </w:r>
          </w:p>
        </w:tc>
      </w:tr>
      <w:tr>
        <w:trPr>
          <w:trHeight w:val="185"/>
        </w:trPr>
        <w:tc>
          <w:tcPr>
            <w:tcW w:w="316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000" w:type="dxa"/>
            <w:vAlign w:val="bottom"/>
            <w:shd w:val="clear" w:color="auto" w:fill="C43776"/>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C4377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4"/>
        </w:trPr>
        <w:tc>
          <w:tcPr>
            <w:tcW w:w="3160" w:type="dxa"/>
            <w:vAlign w:val="bottom"/>
            <w:shd w:val="clear" w:color="auto" w:fill="C43776"/>
          </w:tcPr>
          <w:p>
            <w:pPr>
              <w:spacing w:after="0"/>
              <w:rPr>
                <w:sz w:val="8"/>
                <w:szCs w:val="8"/>
                <w:color w:val="auto"/>
              </w:rPr>
            </w:pPr>
          </w:p>
        </w:tc>
        <w:tc>
          <w:tcPr>
            <w:tcW w:w="2000" w:type="dxa"/>
            <w:vAlign w:val="bottom"/>
            <w:shd w:val="clear" w:color="auto" w:fill="C43776"/>
          </w:tcPr>
          <w:p>
            <w:pPr>
              <w:spacing w:after="0"/>
              <w:rPr>
                <w:sz w:val="8"/>
                <w:szCs w:val="8"/>
                <w:color w:val="auto"/>
              </w:rPr>
            </w:pPr>
          </w:p>
        </w:tc>
        <w:tc>
          <w:tcPr>
            <w:tcW w:w="1440" w:type="dxa"/>
            <w:vAlign w:val="bottom"/>
            <w:shd w:val="clear" w:color="auto" w:fill="C43776"/>
          </w:tcPr>
          <w:p>
            <w:pPr>
              <w:spacing w:after="0"/>
              <w:rPr>
                <w:sz w:val="8"/>
                <w:szCs w:val="8"/>
                <w:color w:val="auto"/>
              </w:rPr>
            </w:pPr>
          </w:p>
        </w:tc>
        <w:tc>
          <w:tcPr>
            <w:tcW w:w="1400" w:type="dxa"/>
            <w:vAlign w:val="bottom"/>
            <w:shd w:val="clear" w:color="auto" w:fill="C43776"/>
          </w:tcPr>
          <w:p>
            <w:pPr>
              <w:spacing w:after="0"/>
              <w:rPr>
                <w:sz w:val="8"/>
                <w:szCs w:val="8"/>
                <w:color w:val="auto"/>
              </w:rPr>
            </w:pPr>
          </w:p>
        </w:tc>
        <w:tc>
          <w:tcPr>
            <w:tcW w:w="1080" w:type="dxa"/>
            <w:vAlign w:val="bottom"/>
            <w:shd w:val="clear" w:color="auto" w:fill="C43776"/>
          </w:tcPr>
          <w:p>
            <w:pPr>
              <w:spacing w:after="0"/>
              <w:rPr>
                <w:sz w:val="8"/>
                <w:szCs w:val="8"/>
                <w:color w:val="auto"/>
              </w:rPr>
            </w:pPr>
          </w:p>
        </w:tc>
      </w:tr>
      <w:tr>
        <w:trPr>
          <w:trHeight w:val="281"/>
        </w:trPr>
        <w:tc>
          <w:tcPr>
            <w:tcW w:w="3160" w:type="dxa"/>
            <w:vAlign w:val="bottom"/>
          </w:tcPr>
          <w:p>
            <w:pPr>
              <w:ind w:left="140"/>
              <w:spacing w:after="0"/>
              <w:rPr>
                <w:sz w:val="20"/>
                <w:szCs w:val="20"/>
                <w:color w:val="auto"/>
              </w:rPr>
            </w:pPr>
            <w:r>
              <w:rPr>
                <w:rFonts w:ascii="Arial" w:cs="Arial" w:eastAsia="Arial" w:hAnsi="Arial"/>
                <w:sz w:val="14"/>
                <w:szCs w:val="14"/>
                <w:b w:val="1"/>
                <w:bCs w:val="1"/>
                <w:color w:val="auto"/>
              </w:rPr>
              <w:t>Annabelle Bexiga</w:t>
            </w:r>
          </w:p>
        </w:tc>
        <w:tc>
          <w:tcPr>
            <w:tcW w:w="2000" w:type="dxa"/>
            <w:vAlign w:val="bottom"/>
          </w:tcPr>
          <w:p>
            <w:pPr>
              <w:jc w:val="right"/>
              <w:ind w:right="368"/>
              <w:spacing w:after="0"/>
              <w:rPr>
                <w:sz w:val="20"/>
                <w:szCs w:val="20"/>
                <w:color w:val="auto"/>
              </w:rPr>
            </w:pPr>
            <w:r>
              <w:rPr>
                <w:rFonts w:ascii="Arial" w:cs="Arial" w:eastAsia="Arial" w:hAnsi="Arial"/>
                <w:sz w:val="14"/>
                <w:szCs w:val="14"/>
                <w:color w:val="auto"/>
              </w:rPr>
              <w:t>75,000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375,339</w:t>
            </w:r>
          </w:p>
        </w:tc>
      </w:tr>
      <w:tr>
        <w:trPr>
          <w:trHeight w:val="29"/>
        </w:trPr>
        <w:tc>
          <w:tcPr>
            <w:tcW w:w="3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0"/>
        </w:trPr>
        <w:tc>
          <w:tcPr>
            <w:tcW w:w="31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Joseph W. Farrelly</w:t>
            </w:r>
          </w:p>
        </w:tc>
        <w:tc>
          <w:tcPr>
            <w:tcW w:w="20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75,000</w:t>
            </w:r>
          </w:p>
        </w:tc>
        <w:tc>
          <w:tcPr>
            <w:tcW w:w="1440" w:type="dxa"/>
            <w:vAlign w:val="bottom"/>
            <w:tcBorders>
              <w:bottom w:val="single" w:sz="8" w:color="F1F2F2"/>
            </w:tcBorders>
            <w:shd w:val="clear" w:color="auto" w:fill="F1F2F2"/>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375,339</w:t>
            </w:r>
          </w:p>
        </w:tc>
      </w:tr>
      <w:tr>
        <w:trPr>
          <w:trHeight w:val="282"/>
        </w:trPr>
        <w:tc>
          <w:tcPr>
            <w:tcW w:w="3160" w:type="dxa"/>
            <w:vAlign w:val="bottom"/>
          </w:tcPr>
          <w:p>
            <w:pPr>
              <w:ind w:left="140"/>
              <w:spacing w:after="0"/>
              <w:rPr>
                <w:sz w:val="20"/>
                <w:szCs w:val="20"/>
                <w:color w:val="auto"/>
              </w:rPr>
            </w:pPr>
            <w:r>
              <w:rPr>
                <w:rFonts w:ascii="Arial" w:cs="Arial" w:eastAsia="Arial" w:hAnsi="Arial"/>
                <w:sz w:val="14"/>
                <w:szCs w:val="14"/>
                <w:b w:val="1"/>
                <w:bCs w:val="1"/>
                <w:color w:val="auto"/>
              </w:rPr>
              <w:t>Rahul Gupta</w:t>
            </w:r>
          </w:p>
        </w:tc>
        <w:tc>
          <w:tcPr>
            <w:tcW w:w="20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300,339</w:t>
            </w:r>
          </w:p>
        </w:tc>
      </w:tr>
      <w:tr>
        <w:trPr>
          <w:trHeight w:val="29"/>
        </w:trPr>
        <w:tc>
          <w:tcPr>
            <w:tcW w:w="3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0"/>
        </w:trPr>
        <w:tc>
          <w:tcPr>
            <w:tcW w:w="31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Thomas M. Hagerty</w:t>
            </w:r>
          </w:p>
        </w:tc>
        <w:tc>
          <w:tcPr>
            <w:tcW w:w="20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F1F2F2"/>
            </w:tcBorders>
            <w:shd w:val="clear" w:color="auto" w:fill="F1F2F2"/>
          </w:tcPr>
          <w:p>
            <w:pPr>
              <w:jc w:val="right"/>
              <w:ind w:right="30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300,022</w:t>
            </w:r>
          </w:p>
        </w:tc>
        <w:tc>
          <w:tcPr>
            <w:tcW w:w="10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300,022</w:t>
            </w:r>
          </w:p>
        </w:tc>
      </w:tr>
      <w:tr>
        <w:trPr>
          <w:trHeight w:val="282"/>
        </w:trPr>
        <w:tc>
          <w:tcPr>
            <w:tcW w:w="3160" w:type="dxa"/>
            <w:vAlign w:val="bottom"/>
          </w:tcPr>
          <w:p>
            <w:pPr>
              <w:ind w:left="140"/>
              <w:spacing w:after="0"/>
              <w:rPr>
                <w:sz w:val="20"/>
                <w:szCs w:val="20"/>
                <w:color w:val="auto"/>
              </w:rPr>
            </w:pPr>
            <w:r>
              <w:rPr>
                <w:rFonts w:ascii="Arial" w:cs="Arial" w:eastAsia="Arial" w:hAnsi="Arial"/>
                <w:sz w:val="14"/>
                <w:szCs w:val="14"/>
                <w:b w:val="1"/>
                <w:bCs w:val="1"/>
                <w:color w:val="auto"/>
              </w:rPr>
              <w:t>Archie L. Jones, Jr.</w:t>
            </w:r>
          </w:p>
        </w:tc>
        <w:tc>
          <w:tcPr>
            <w:tcW w:w="20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300,339</w:t>
            </w:r>
          </w:p>
        </w:tc>
      </w:tr>
      <w:tr>
        <w:trPr>
          <w:trHeight w:val="29"/>
        </w:trPr>
        <w:tc>
          <w:tcPr>
            <w:tcW w:w="3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1"/>
        </w:trPr>
        <w:tc>
          <w:tcPr>
            <w:tcW w:w="31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Richard Macchia</w:t>
            </w:r>
          </w:p>
        </w:tc>
        <w:tc>
          <w:tcPr>
            <w:tcW w:w="20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75,000</w:t>
            </w:r>
          </w:p>
        </w:tc>
        <w:tc>
          <w:tcPr>
            <w:tcW w:w="1440" w:type="dxa"/>
            <w:vAlign w:val="bottom"/>
            <w:tcBorders>
              <w:bottom w:val="single" w:sz="8" w:color="F1F2F2"/>
            </w:tcBorders>
            <w:shd w:val="clear" w:color="auto" w:fill="F1F2F2"/>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375,339</w:t>
            </w:r>
          </w:p>
        </w:tc>
      </w:tr>
      <w:tr>
        <w:trPr>
          <w:trHeight w:val="281"/>
        </w:trPr>
        <w:tc>
          <w:tcPr>
            <w:tcW w:w="3160" w:type="dxa"/>
            <w:vAlign w:val="bottom"/>
          </w:tcPr>
          <w:p>
            <w:pPr>
              <w:ind w:left="140"/>
              <w:spacing w:after="0"/>
              <w:rPr>
                <w:sz w:val="20"/>
                <w:szCs w:val="20"/>
                <w:color w:val="auto"/>
              </w:rPr>
            </w:pPr>
            <w:r>
              <w:rPr>
                <w:rFonts w:ascii="Arial" w:cs="Arial" w:eastAsia="Arial" w:hAnsi="Arial"/>
                <w:sz w:val="14"/>
                <w:szCs w:val="14"/>
                <w:b w:val="1"/>
                <w:bCs w:val="1"/>
                <w:color w:val="auto"/>
              </w:rPr>
              <w:t>Hala G. Moddelmog</w:t>
            </w:r>
          </w:p>
        </w:tc>
        <w:tc>
          <w:tcPr>
            <w:tcW w:w="2000" w:type="dxa"/>
            <w:vAlign w:val="bottom"/>
          </w:tcPr>
          <w:p>
            <w:pPr>
              <w:jc w:val="right"/>
              <w:ind w:right="368"/>
              <w:spacing w:after="0"/>
              <w:rPr>
                <w:sz w:val="20"/>
                <w:szCs w:val="20"/>
                <w:color w:val="auto"/>
              </w:rPr>
            </w:pPr>
            <w:r>
              <w:rPr>
                <w:rFonts w:ascii="Arial" w:cs="Arial" w:eastAsia="Arial" w:hAnsi="Arial"/>
                <w:sz w:val="14"/>
                <w:szCs w:val="14"/>
                <w:color w:val="auto"/>
              </w:rPr>
              <w:t>75,000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375,339</w:t>
            </w:r>
          </w:p>
        </w:tc>
      </w:tr>
      <w:tr>
        <w:trPr>
          <w:trHeight w:val="29"/>
        </w:trPr>
        <w:tc>
          <w:tcPr>
            <w:tcW w:w="3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1"/>
        </w:trPr>
        <w:tc>
          <w:tcPr>
            <w:tcW w:w="31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Jeffrey S. Sloan</w:t>
            </w:r>
          </w:p>
        </w:tc>
        <w:tc>
          <w:tcPr>
            <w:tcW w:w="20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F1F2F2"/>
            </w:tcBorders>
            <w:shd w:val="clear" w:color="auto" w:fill="F1F2F2"/>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300,339</w:t>
            </w:r>
          </w:p>
        </w:tc>
      </w:tr>
      <w:tr>
        <w:trPr>
          <w:trHeight w:val="281"/>
        </w:trPr>
        <w:tc>
          <w:tcPr>
            <w:tcW w:w="3160" w:type="dxa"/>
            <w:vAlign w:val="bottom"/>
          </w:tcPr>
          <w:p>
            <w:pPr>
              <w:ind w:left="140"/>
              <w:spacing w:after="0"/>
              <w:rPr>
                <w:sz w:val="20"/>
                <w:szCs w:val="20"/>
                <w:color w:val="auto"/>
              </w:rPr>
            </w:pPr>
            <w:r>
              <w:rPr>
                <w:rFonts w:ascii="Arial" w:cs="Arial" w:eastAsia="Arial" w:hAnsi="Arial"/>
                <w:sz w:val="14"/>
                <w:szCs w:val="14"/>
                <w:b w:val="1"/>
                <w:bCs w:val="1"/>
                <w:color w:val="auto"/>
              </w:rPr>
              <w:t>Steven T. Stull</w:t>
            </w:r>
          </w:p>
        </w:tc>
        <w:tc>
          <w:tcPr>
            <w:tcW w:w="2000" w:type="dxa"/>
            <w:vAlign w:val="bottom"/>
          </w:tcPr>
          <w:p>
            <w:pPr>
              <w:jc w:val="right"/>
              <w:ind w:right="368"/>
              <w:spacing w:after="0"/>
              <w:rPr>
                <w:sz w:val="20"/>
                <w:szCs w:val="20"/>
                <w:color w:val="auto"/>
              </w:rPr>
            </w:pPr>
            <w:r>
              <w:rPr>
                <w:rFonts w:ascii="Arial" w:cs="Arial" w:eastAsia="Arial" w:hAnsi="Arial"/>
                <w:sz w:val="14"/>
                <w:szCs w:val="14"/>
                <w:color w:val="auto"/>
              </w:rPr>
              <w:t>75,000</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48"/>
              <w:spacing w:after="0"/>
              <w:rPr>
                <w:sz w:val="20"/>
                <w:szCs w:val="20"/>
                <w:color w:val="auto"/>
              </w:rPr>
            </w:pPr>
            <w:r>
              <w:rPr>
                <w:rFonts w:ascii="Arial" w:cs="Arial" w:eastAsia="Arial" w:hAnsi="Arial"/>
                <w:sz w:val="14"/>
                <w:szCs w:val="14"/>
                <w:color w:val="auto"/>
              </w:rPr>
              <w:t>300,022</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375,022</w:t>
            </w:r>
          </w:p>
        </w:tc>
      </w:tr>
      <w:tr>
        <w:trPr>
          <w:trHeight w:val="29"/>
        </w:trPr>
        <w:tc>
          <w:tcPr>
            <w:tcW w:w="3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1"/>
        </w:trPr>
        <w:tc>
          <w:tcPr>
            <w:tcW w:w="31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Gerald C. Throop</w:t>
            </w:r>
          </w:p>
        </w:tc>
        <w:tc>
          <w:tcPr>
            <w:tcW w:w="20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F1F2F2"/>
            </w:tcBorders>
            <w:shd w:val="clear" w:color="auto" w:fill="F1F2F2"/>
          </w:tcPr>
          <w:p>
            <w:pPr>
              <w:jc w:val="right"/>
              <w:ind w:right="308"/>
              <w:spacing w:after="0"/>
              <w:rPr>
                <w:sz w:val="20"/>
                <w:szCs w:val="20"/>
                <w:color w:val="auto"/>
              </w:rPr>
            </w:pPr>
            <w:r>
              <w:rPr>
                <w:rFonts w:ascii="Arial" w:cs="Arial" w:eastAsia="Arial" w:hAnsi="Arial"/>
                <w:sz w:val="14"/>
                <w:szCs w:val="14"/>
                <w:color w:val="auto"/>
              </w:rPr>
              <w:t>300,339</w:t>
            </w:r>
          </w:p>
        </w:tc>
        <w:tc>
          <w:tcPr>
            <w:tcW w:w="140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300,339</w:t>
            </w:r>
          </w:p>
        </w:tc>
      </w:tr>
      <w:tr>
        <w:trPr>
          <w:trHeight w:val="20"/>
        </w:trPr>
        <w:tc>
          <w:tcPr>
            <w:tcW w:w="3160" w:type="dxa"/>
            <w:vAlign w:val="bottom"/>
            <w:shd w:val="clear" w:color="auto" w:fill="C43776"/>
          </w:tcPr>
          <w:p>
            <w:pPr>
              <w:spacing w:after="0" w:line="20" w:lineRule="exact"/>
              <w:rPr>
                <w:sz w:val="1"/>
                <w:szCs w:val="1"/>
                <w:color w:val="auto"/>
              </w:rPr>
            </w:pPr>
          </w:p>
        </w:tc>
        <w:tc>
          <w:tcPr>
            <w:tcW w:w="2000" w:type="dxa"/>
            <w:vAlign w:val="bottom"/>
            <w:shd w:val="clear" w:color="auto" w:fill="C43776"/>
          </w:tcPr>
          <w:p>
            <w:pPr>
              <w:spacing w:after="0" w:line="20" w:lineRule="exact"/>
              <w:rPr>
                <w:sz w:val="1"/>
                <w:szCs w:val="1"/>
                <w:color w:val="auto"/>
              </w:rPr>
            </w:pPr>
          </w:p>
        </w:tc>
        <w:tc>
          <w:tcPr>
            <w:tcW w:w="1440" w:type="dxa"/>
            <w:vAlign w:val="bottom"/>
            <w:shd w:val="clear" w:color="auto" w:fill="C43776"/>
          </w:tcPr>
          <w:p>
            <w:pPr>
              <w:spacing w:after="0" w:line="20" w:lineRule="exact"/>
              <w:rPr>
                <w:sz w:val="1"/>
                <w:szCs w:val="1"/>
                <w:color w:val="auto"/>
              </w:rPr>
            </w:pPr>
          </w:p>
        </w:tc>
        <w:tc>
          <w:tcPr>
            <w:tcW w:w="1400" w:type="dxa"/>
            <w:vAlign w:val="bottom"/>
            <w:shd w:val="clear" w:color="auto" w:fill="C43776"/>
          </w:tcPr>
          <w:p>
            <w:pPr>
              <w:spacing w:after="0" w:line="20" w:lineRule="exact"/>
              <w:rPr>
                <w:sz w:val="1"/>
                <w:szCs w:val="1"/>
                <w:color w:val="auto"/>
              </w:rPr>
            </w:pPr>
          </w:p>
        </w:tc>
        <w:tc>
          <w:tcPr>
            <w:tcW w:w="1080" w:type="dxa"/>
            <w:vAlign w:val="bottom"/>
            <w:shd w:val="clear" w:color="auto" w:fill="C43776"/>
          </w:tcPr>
          <w:p>
            <w:pPr>
              <w:spacing w:after="0" w:line="20" w:lineRule="exact"/>
              <w:rPr>
                <w:sz w:val="1"/>
                <w:szCs w:val="1"/>
                <w:color w:val="auto"/>
              </w:rPr>
            </w:pPr>
          </w:p>
        </w:tc>
      </w:tr>
    </w:tbl>
    <w:p>
      <w:pPr>
        <w:spacing w:after="0" w:line="110" w:lineRule="exact"/>
        <w:rPr>
          <w:sz w:val="20"/>
          <w:szCs w:val="20"/>
          <w:color w:val="auto"/>
        </w:rPr>
      </w:pPr>
    </w:p>
    <w:p>
      <w:pPr>
        <w:ind w:left="340" w:right="100" w:hanging="332"/>
        <w:spacing w:after="0" w:line="274" w:lineRule="auto"/>
        <w:tabs>
          <w:tab w:leader="none" w:pos="340" w:val="left"/>
        </w:tabs>
        <w:numPr>
          <w:ilvl w:val="0"/>
          <w:numId w:val="20"/>
        </w:numPr>
        <w:rPr>
          <w:rFonts w:ascii="Arial" w:cs="Arial" w:eastAsia="Arial" w:hAnsi="Arial"/>
          <w:sz w:val="12"/>
          <w:szCs w:val="12"/>
          <w:i w:val="1"/>
          <w:iCs w:val="1"/>
          <w:color w:val="auto"/>
        </w:rPr>
      </w:pPr>
      <w:r>
        <w:rPr>
          <w:rFonts w:ascii="Arial" w:cs="Arial" w:eastAsia="Arial" w:hAnsi="Arial"/>
          <w:sz w:val="12"/>
          <w:szCs w:val="12"/>
          <w:i w:val="1"/>
          <w:iCs w:val="1"/>
          <w:color w:val="auto"/>
        </w:rPr>
        <w:t>Consisted of shares of restricted stock, which vested on February 14, 2026. The value for stock awards in this column represents the grant date fair value, computed in accordance with Financial Accounting Standards Board (“FASB”) Accounting Standards Codification (“ASC”) Topic 718. On December 31, 2025, each of the non-employee directors (other than Messrs. Hagerty and Stull) had 796 shares of restricted stock outstanding.</w:t>
      </w:r>
    </w:p>
    <w:p>
      <w:pPr>
        <w:spacing w:after="0" w:line="13" w:lineRule="exact"/>
        <w:rPr>
          <w:rFonts w:ascii="Arial" w:cs="Arial" w:eastAsia="Arial" w:hAnsi="Arial"/>
          <w:sz w:val="12"/>
          <w:szCs w:val="12"/>
          <w:i w:val="1"/>
          <w:iCs w:val="1"/>
          <w:color w:val="auto"/>
        </w:rPr>
      </w:pPr>
    </w:p>
    <w:p>
      <w:pPr>
        <w:ind w:left="340" w:right="280" w:hanging="332"/>
        <w:spacing w:after="0" w:line="291" w:lineRule="auto"/>
        <w:tabs>
          <w:tab w:leader="none" w:pos="340" w:val="left"/>
        </w:tabs>
        <w:numPr>
          <w:ilvl w:val="0"/>
          <w:numId w:val="20"/>
        </w:numPr>
        <w:rPr>
          <w:rFonts w:ascii="Arial" w:cs="Arial" w:eastAsia="Arial" w:hAnsi="Arial"/>
          <w:sz w:val="12"/>
          <w:szCs w:val="12"/>
          <w:i w:val="1"/>
          <w:iCs w:val="1"/>
          <w:color w:val="auto"/>
        </w:rPr>
      </w:pPr>
      <w:r>
        <w:rPr>
          <w:rFonts w:ascii="Arial" w:cs="Arial" w:eastAsia="Arial" w:hAnsi="Arial"/>
          <w:sz w:val="12"/>
          <w:szCs w:val="12"/>
          <w:i w:val="1"/>
          <w:iCs w:val="1"/>
          <w:color w:val="auto"/>
        </w:rPr>
        <w:t>Consisted of a grant of non-qualified stock options, which vested on February 14, 2026. The value for stock options in this column represents the grant date fair value, computed in accordance with FASB ASC Topic 718. On December 31, 2025, Messrs. Hagerty and Stull each had 6,828 stock options outstanding.</w:t>
      </w:r>
    </w:p>
    <w:p>
      <w:pPr>
        <w:spacing w:after="0" w:line="94" w:lineRule="exact"/>
        <w:rPr>
          <w:sz w:val="20"/>
          <w:szCs w:val="20"/>
          <w:color w:val="auto"/>
        </w:rPr>
      </w:pPr>
    </w:p>
    <w:p>
      <w:pPr>
        <w:spacing w:after="0"/>
        <w:rPr>
          <w:sz w:val="20"/>
          <w:szCs w:val="20"/>
          <w:color w:val="auto"/>
        </w:rPr>
      </w:pPr>
      <w:r>
        <w:rPr>
          <w:rFonts w:ascii="Arial" w:cs="Arial" w:eastAsia="Arial" w:hAnsi="Arial"/>
          <w:sz w:val="32"/>
          <w:szCs w:val="32"/>
          <w:color w:val="C43776"/>
        </w:rPr>
        <w:t>Director 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qualifications for directors are described in our corporate governance guidelines, which is available on our website.</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Board does not currently apply any minimum qualifications or require that a director have specified qualities or skills in order to be considered for a position as a director. The Board recognizes the value of diverse backgrounds and skills among its members and the impact it can have on the performance of the Board.</w:t>
      </w:r>
    </w:p>
    <w:p>
      <w:pPr>
        <w:spacing w:after="0" w:line="11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corporate governance guidelines provide that no director should serve on more than four other public company boards, unless the governance committee determines otherwise.</w:t>
      </w:r>
    </w:p>
    <w:p>
      <w:pPr>
        <w:spacing w:after="0" w:line="11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Directors are expected to advise the Chair of the Board and the governance committee Chair in advance of accepting an invitation to serve on another public company board.</w:t>
      </w:r>
    </w:p>
    <w:p>
      <w:pPr>
        <w:spacing w:after="0" w:line="11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Board has not limited the number of years for which a person may serve as a director or required a mandatory retirement age, because such limits could deprive us of the valuable contributions made by a director who develops, over time, significant insights into us and our operations.</w:t>
      </w:r>
    </w:p>
    <w:p>
      <w:pPr>
        <w:spacing w:after="0" w:line="13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renomination of existing directors is not viewed as automatic, but is based on continuing qualification under the criteria stated above. In addition, the committee considers the existing directors’ performance on the Board and any committee.</w:t>
      </w:r>
    </w:p>
    <w:p>
      <w:pPr>
        <w:spacing w:after="0" w:line="87" w:lineRule="exact"/>
        <w:rPr>
          <w:sz w:val="20"/>
          <w:szCs w:val="20"/>
          <w:color w:val="auto"/>
        </w:rPr>
      </w:pPr>
    </w:p>
    <w:p>
      <w:pPr>
        <w:spacing w:after="0"/>
        <w:rPr>
          <w:sz w:val="20"/>
          <w:szCs w:val="20"/>
          <w:color w:val="auto"/>
        </w:rPr>
      </w:pPr>
      <w:r>
        <w:rPr>
          <w:rFonts w:ascii="Arial" w:cs="Arial" w:eastAsia="Arial" w:hAnsi="Arial"/>
          <w:sz w:val="32"/>
          <w:szCs w:val="32"/>
          <w:color w:val="C43776"/>
        </w:rPr>
        <w:t>Director Nomination Process</w:t>
      </w:r>
    </w:p>
    <w:p>
      <w:pPr>
        <w:spacing w:after="0" w:line="14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b w:val="1"/>
          <w:bCs w:val="1"/>
          <w:color w:val="auto"/>
        </w:rPr>
        <w:t xml:space="preserve">Selection of Director Nominees: </w:t>
      </w:r>
      <w:r>
        <w:rPr>
          <w:rFonts w:ascii="Arial" w:cs="Arial" w:eastAsia="Arial" w:hAnsi="Arial"/>
          <w:sz w:val="16"/>
          <w:szCs w:val="16"/>
          <w:color w:val="auto"/>
        </w:rPr>
        <w:t>Our governance committee is responsible for evaluating candidates for election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to our Board based on the criteria discussed above. The governance committee considers candidates identified by it, other directors, executive officers and shareholders, and, if desired, a third-party search firm. The committee selects nominees to recommend to the Board, which considers and makes the final selection of director nominees and directors to serve on its committees.</w:t>
      </w:r>
    </w:p>
    <w:p>
      <w:pPr>
        <w:spacing w:after="0" w:line="393"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20</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69" w:right="1419" w:bottom="1440" w:gutter="0" w:footer="0" w:header="0"/>
        </w:sectPr>
      </w:pPr>
    </w:p>
    <w:bookmarkStart w:id="26" w:name="page27"/>
    <w:bookmarkEnd w:id="26"/>
    <w:p>
      <w:pPr>
        <w:ind w:left="60"/>
        <w:spacing w:after="0"/>
        <w:tabs>
          <w:tab w:leader="none" w:pos="56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03. 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9"/>
        <w:spacing w:after="0" w:line="265" w:lineRule="auto"/>
        <w:rPr>
          <w:sz w:val="20"/>
          <w:szCs w:val="20"/>
          <w:color w:val="auto"/>
        </w:rPr>
      </w:pPr>
      <w:r>
        <w:rPr>
          <w:rFonts w:ascii="Arial" w:cs="Arial" w:eastAsia="Arial" w:hAnsi="Arial"/>
          <w:sz w:val="16"/>
          <w:szCs w:val="16"/>
          <w:b w:val="1"/>
          <w:bCs w:val="1"/>
          <w:color w:val="auto"/>
        </w:rPr>
        <w:t xml:space="preserve">Shareholder Recommendations of Nominees: </w:t>
      </w:r>
      <w:r>
        <w:rPr>
          <w:rFonts w:ascii="Arial" w:cs="Arial" w:eastAsia="Arial" w:hAnsi="Arial"/>
          <w:sz w:val="16"/>
          <w:szCs w:val="16"/>
          <w:color w:val="auto"/>
        </w:rPr>
        <w:t>The governance committee of the Board considers recommendations for</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for nomination to the Board by shareholders. The governance committee will consider and evaluate candidates recommended by shareholders in the same manner as candidates recommended from other sources. If the Board determines to nominate a shareholder-recommended candidate and recommends his or her election, then that nominee will be named in the Proxy Statement for the next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Shareholder recommendations must be addressed to: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Corpay,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CANDIDATE RECOMMENDATION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3280 Peachtree Road, Suite 2400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 30305</w:t>
      </w:r>
    </w:p>
    <w:p>
      <w:pPr>
        <w:spacing w:after="0" w:line="97" w:lineRule="exact"/>
        <w:rPr>
          <w:sz w:val="20"/>
          <w:szCs w:val="20"/>
          <w:color w:val="auto"/>
        </w:rPr>
      </w:pPr>
    </w:p>
    <w:p>
      <w:pPr>
        <w:ind w:right="19"/>
        <w:spacing w:after="0" w:line="265" w:lineRule="auto"/>
        <w:rPr>
          <w:sz w:val="20"/>
          <w:szCs w:val="20"/>
          <w:color w:val="auto"/>
        </w:rPr>
      </w:pPr>
      <w:r>
        <w:rPr>
          <w:rFonts w:ascii="Arial" w:cs="Arial" w:eastAsia="Arial" w:hAnsi="Arial"/>
          <w:sz w:val="16"/>
          <w:szCs w:val="16"/>
          <w:color w:val="auto"/>
        </w:rPr>
        <w:t>Proxy Access Nominations: To be timely for consideration at our 2027 annual meeting, a shareholder’s proxy access notice to a Corporate Secretary regarding a proxy access director nomination must be received no earlier than January 7, 2027 and no later than February 6, 2027. However, in the event that the 2027 annual meeting is called for a date that is not within thirty days of May 7, 2027, notice by the shareholder must be received by the later of (i) the 90th day before such annual meeting or (ii) the tenth day following Corpay’s first public announcement of the date of such meeting.</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Shareholder proxy access nominations must be addressed to: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Corpay,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PROXY ACCESS DIRECTOR NOMINEE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3280 Peachtree Road, Suite 2400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 30305</w:t>
      </w:r>
    </w:p>
    <w:p>
      <w:pPr>
        <w:spacing w:after="0" w:line="111" w:lineRule="exact"/>
        <w:rPr>
          <w:sz w:val="20"/>
          <w:szCs w:val="20"/>
          <w:color w:val="auto"/>
        </w:rPr>
      </w:pPr>
    </w:p>
    <w:p>
      <w:pPr>
        <w:ind w:right="119"/>
        <w:spacing w:after="0" w:line="286" w:lineRule="auto"/>
        <w:rPr>
          <w:sz w:val="20"/>
          <w:szCs w:val="20"/>
          <w:color w:val="auto"/>
        </w:rPr>
      </w:pPr>
      <w:r>
        <w:rPr>
          <w:rFonts w:ascii="Arial" w:cs="Arial" w:eastAsia="Arial" w:hAnsi="Arial"/>
          <w:sz w:val="16"/>
          <w:szCs w:val="16"/>
          <w:b w:val="1"/>
          <w:bCs w:val="1"/>
          <w:color w:val="auto"/>
        </w:rPr>
        <w:t xml:space="preserve">Contacting the Board: </w:t>
      </w:r>
      <w:r>
        <w:rPr>
          <w:rFonts w:ascii="Arial" w:cs="Arial" w:eastAsia="Arial" w:hAnsi="Arial"/>
          <w:sz w:val="16"/>
          <w:szCs w:val="16"/>
          <w:color w:val="auto"/>
        </w:rPr>
        <w:t>Shareholders and other interested parties can contact the Board as a group or the non-management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as a group as follows: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 the Board as a whole: CorpayBoard@corpay.com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the non-management directors: CorpayNonManagementDirectors@corpay.com</w:t>
      </w:r>
    </w:p>
    <w:p>
      <w:pPr>
        <w:spacing w:after="0" w:line="113" w:lineRule="exact"/>
        <w:rPr>
          <w:sz w:val="20"/>
          <w:szCs w:val="20"/>
          <w:color w:val="auto"/>
        </w:rPr>
      </w:pPr>
    </w:p>
    <w:p>
      <w:pPr>
        <w:ind w:right="319"/>
        <w:spacing w:after="0" w:line="275" w:lineRule="auto"/>
        <w:rPr>
          <w:sz w:val="20"/>
          <w:szCs w:val="20"/>
          <w:color w:val="auto"/>
        </w:rPr>
      </w:pPr>
      <w:r>
        <w:rPr>
          <w:rFonts w:ascii="Arial" w:cs="Arial" w:eastAsia="Arial" w:hAnsi="Arial"/>
          <w:sz w:val="16"/>
          <w:szCs w:val="16"/>
          <w:color w:val="auto"/>
        </w:rPr>
        <w:t>The Corporate Secretary reviews all written and emailed correspondence received from shareholders and other interested parties and forwards such correspondence periodically to the directors if and as appropriate. Shareholders can submit communications anonymously or by identifying themselves.</w:t>
      </w:r>
    </w:p>
    <w:p>
      <w:pPr>
        <w:spacing w:after="0" w:line="96" w:lineRule="exact"/>
        <w:rPr>
          <w:sz w:val="20"/>
          <w:szCs w:val="20"/>
          <w:color w:val="auto"/>
        </w:rPr>
      </w:pPr>
    </w:p>
    <w:p>
      <w:pPr>
        <w:spacing w:after="0"/>
        <w:rPr>
          <w:sz w:val="20"/>
          <w:szCs w:val="20"/>
          <w:color w:val="auto"/>
        </w:rPr>
      </w:pPr>
      <w:r>
        <w:rPr>
          <w:rFonts w:ascii="Arial" w:cs="Arial" w:eastAsia="Arial" w:hAnsi="Arial"/>
          <w:sz w:val="32"/>
          <w:szCs w:val="32"/>
          <w:color w:val="C43776"/>
        </w:rPr>
        <w:t>Governance Policies</w:t>
      </w:r>
    </w:p>
    <w:p>
      <w:pPr>
        <w:spacing w:after="0" w:line="146" w:lineRule="exact"/>
        <w:rPr>
          <w:sz w:val="20"/>
          <w:szCs w:val="20"/>
          <w:color w:val="auto"/>
        </w:rPr>
      </w:pPr>
    </w:p>
    <w:p>
      <w:pPr>
        <w:jc w:val="both"/>
        <w:ind w:right="559"/>
        <w:spacing w:after="0" w:line="275" w:lineRule="auto"/>
        <w:rPr>
          <w:sz w:val="20"/>
          <w:szCs w:val="20"/>
          <w:color w:val="auto"/>
        </w:rPr>
      </w:pPr>
      <w:r>
        <w:rPr>
          <w:rFonts w:ascii="Arial" w:cs="Arial" w:eastAsia="Arial" w:hAnsi="Arial"/>
          <w:sz w:val="16"/>
          <w:szCs w:val="16"/>
          <w:color w:val="auto"/>
        </w:rPr>
        <w:t>Complete copies of our corporate governance guidelines, committee charters and code of conduct are available on the Governance section of our website, at https:// investor.corpay.com. In accordance with NYSE rules, we may also make disclosure of the following on our website:</w:t>
      </w:r>
    </w:p>
    <w:p>
      <w:pPr>
        <w:spacing w:after="0" w:line="70" w:lineRule="exact"/>
        <w:rPr>
          <w:sz w:val="20"/>
          <w:szCs w:val="20"/>
          <w:color w:val="auto"/>
        </w:rPr>
      </w:pPr>
    </w:p>
    <w:p>
      <w:pPr>
        <w:ind w:left="340" w:right="19" w:hanging="251"/>
        <w:spacing w:after="0" w:line="286" w:lineRule="auto"/>
        <w:tabs>
          <w:tab w:leader="none" w:pos="340" w:val="left"/>
        </w:tabs>
        <w:numPr>
          <w:ilvl w:val="0"/>
          <w:numId w:val="21"/>
        </w:numPr>
        <w:rPr>
          <w:rFonts w:ascii="Arial" w:cs="Arial" w:eastAsia="Arial" w:hAnsi="Arial"/>
          <w:sz w:val="11"/>
          <w:szCs w:val="11"/>
          <w:color w:val="BE1549"/>
        </w:rPr>
      </w:pPr>
      <w:r>
        <w:rPr>
          <w:rFonts w:ascii="Arial" w:cs="Arial" w:eastAsia="Arial" w:hAnsi="Arial"/>
          <w:sz w:val="16"/>
          <w:szCs w:val="16"/>
          <w:color w:val="auto"/>
        </w:rPr>
        <w:t>the method for interested parties to communicate directly with the presiding director or with the independent directors as a group</w:t>
      </w:r>
    </w:p>
    <w:p>
      <w:pPr>
        <w:spacing w:after="0" w:line="47" w:lineRule="exact"/>
        <w:rPr>
          <w:rFonts w:ascii="Arial" w:cs="Arial" w:eastAsia="Arial" w:hAnsi="Arial"/>
          <w:sz w:val="11"/>
          <w:szCs w:val="11"/>
          <w:color w:val="BE1549"/>
        </w:rPr>
      </w:pPr>
    </w:p>
    <w:p>
      <w:pPr>
        <w:ind w:left="340" w:right="99" w:hanging="251"/>
        <w:spacing w:after="0" w:line="275" w:lineRule="auto"/>
        <w:tabs>
          <w:tab w:leader="none" w:pos="340" w:val="left"/>
        </w:tabs>
        <w:numPr>
          <w:ilvl w:val="0"/>
          <w:numId w:val="21"/>
        </w:numPr>
        <w:rPr>
          <w:rFonts w:ascii="Arial" w:cs="Arial" w:eastAsia="Arial" w:hAnsi="Arial"/>
          <w:sz w:val="11"/>
          <w:szCs w:val="11"/>
          <w:color w:val="BE1549"/>
        </w:rPr>
      </w:pPr>
      <w:r>
        <w:rPr>
          <w:rFonts w:ascii="Arial" w:cs="Arial" w:eastAsia="Arial" w:hAnsi="Arial"/>
          <w:sz w:val="16"/>
          <w:szCs w:val="16"/>
          <w:color w:val="auto"/>
        </w:rPr>
        <w:t>the identity of any member of our audit committee who also serves on the audit committees of more than three public companies and a determination by our Board that such simultaneous service will not impair the ability of such member to effectively serve on our audit committee</w:t>
      </w:r>
    </w:p>
    <w:p>
      <w:pPr>
        <w:spacing w:after="0" w:line="69" w:lineRule="exact"/>
        <w:rPr>
          <w:rFonts w:ascii="Arial" w:cs="Arial" w:eastAsia="Arial" w:hAnsi="Arial"/>
          <w:sz w:val="11"/>
          <w:szCs w:val="11"/>
          <w:color w:val="BE1549"/>
        </w:rPr>
      </w:pPr>
    </w:p>
    <w:p>
      <w:pPr>
        <w:ind w:left="340" w:right="39" w:hanging="251"/>
        <w:spacing w:after="0" w:line="266" w:lineRule="auto"/>
        <w:tabs>
          <w:tab w:leader="none" w:pos="340" w:val="left"/>
        </w:tabs>
        <w:numPr>
          <w:ilvl w:val="0"/>
          <w:numId w:val="21"/>
        </w:numPr>
        <w:rPr>
          <w:rFonts w:ascii="Arial" w:cs="Arial" w:eastAsia="Arial" w:hAnsi="Arial"/>
          <w:sz w:val="11"/>
          <w:szCs w:val="11"/>
          <w:color w:val="BE1549"/>
        </w:rPr>
      </w:pPr>
      <w:r>
        <w:rPr>
          <w:rFonts w:ascii="Arial" w:cs="Arial" w:eastAsia="Arial" w:hAnsi="Arial"/>
          <w:sz w:val="16"/>
          <w:szCs w:val="16"/>
          <w:color w:val="auto"/>
        </w:rPr>
        <w:t>contributions by us to a tax exempt organization in which any independent director serves as an executive officer if, within the preceding three years, contributions in any single fiscal year exceeded the greater of $1 million or 2% of such tax exempt organization’s consolidated gross revenues.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will provide copies of any of the foregoing information without charge upon written request to: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Corpay,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3280 Peachtree Road, Suite 2400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 30305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21</w:t>
      </w:r>
    </w:p>
    <w:p>
      <w:pPr>
        <w:sectPr>
          <w:pgSz w:w="11900" w:h="16838" w:orient="portrait"/>
          <w:cols w:equalWidth="0" w:num="1">
            <w:col w:w="9059"/>
          </w:cols>
          <w:pgMar w:left="1400" w:top="769" w:right="1440" w:bottom="1440" w:gutter="0" w:footer="0" w:header="0"/>
        </w:sectPr>
      </w:pPr>
    </w:p>
    <w:bookmarkStart w:id="27" w:name="page28"/>
    <w:bookmarkEnd w:id="2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right="660" w:firstLine="8"/>
        <w:spacing w:after="0" w:line="263" w:lineRule="auto"/>
        <w:tabs>
          <w:tab w:leader="none" w:pos="660" w:val="left"/>
        </w:tabs>
        <w:numPr>
          <w:ilvl w:val="0"/>
          <w:numId w:val="22"/>
        </w:numPr>
        <w:rPr>
          <w:rFonts w:ascii="Arial" w:cs="Arial" w:eastAsia="Arial" w:hAnsi="Arial"/>
          <w:sz w:val="40"/>
          <w:szCs w:val="40"/>
          <w:color w:val="auto"/>
        </w:rPr>
      </w:pPr>
      <w:r>
        <w:rPr>
          <w:rFonts w:ascii="Arial" w:cs="Arial" w:eastAsia="Arial" w:hAnsi="Arial"/>
          <w:sz w:val="40"/>
          <w:szCs w:val="40"/>
          <w:color w:val="auto"/>
        </w:rPr>
        <w:t>Information Regarding Beneficial Ownership of Principal Shareholders, Directors, and Management</w:t>
      </w:r>
    </w:p>
    <w:p>
      <w:pPr>
        <w:spacing w:after="0" w:line="32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 xml:space="preserve">The table below sets forth the common shares beneficially owned by our directors, our Chief Executive Officer, our Chief Financial Officer and our next three most highly compensated executive officers, whom we refer to as our “named executive officers” or NEOs, and all persons </w:t>
      </w:r>
      <w:r>
        <w:rPr>
          <w:rFonts w:ascii="Arial" w:cs="Arial" w:eastAsia="Arial" w:hAnsi="Arial"/>
          <w:sz w:val="16"/>
          <w:szCs w:val="16"/>
          <w:color w:val="auto"/>
          <w:highlight w:val="white"/>
        </w:rPr>
        <w:t>known to us to own more than 5% of our outstanding common shares, as of</w:t>
      </w:r>
      <w:r>
        <w:rPr>
          <w:rFonts w:ascii="Arial" w:cs="Arial" w:eastAsia="Arial" w:hAnsi="Arial"/>
          <w:sz w:val="16"/>
          <w:szCs w:val="16"/>
          <w:color w:val="auto"/>
        </w:rPr>
        <w:t xml:space="preserve"> February 17, 2026. </w:t>
      </w:r>
      <w:r>
        <w:rPr>
          <w:rFonts w:ascii="Arial" w:cs="Arial" w:eastAsia="Arial" w:hAnsi="Arial"/>
          <w:sz w:val="16"/>
          <w:szCs w:val="16"/>
          <w:color w:val="auto"/>
          <w:highlight w:val="white"/>
        </w:rPr>
        <w:t>Percentages are based on</w:t>
      </w:r>
      <w:r>
        <w:rPr>
          <w:rFonts w:ascii="Arial" w:cs="Arial" w:eastAsia="Arial" w:hAnsi="Arial"/>
          <w:sz w:val="16"/>
          <w:szCs w:val="16"/>
          <w:color w:val="auto"/>
        </w:rPr>
        <w:t xml:space="preserve"> 68,050,296 </w:t>
      </w:r>
      <w:r>
        <w:rPr>
          <w:rFonts w:ascii="Arial" w:cs="Arial" w:eastAsia="Arial" w:hAnsi="Arial"/>
          <w:sz w:val="16"/>
          <w:szCs w:val="16"/>
          <w:color w:val="auto"/>
          <w:highlight w:val="white"/>
        </w:rPr>
        <w:t>shares</w:t>
      </w:r>
      <w:r>
        <w:rPr>
          <w:rFonts w:ascii="Arial" w:cs="Arial" w:eastAsia="Arial" w:hAnsi="Arial"/>
          <w:sz w:val="16"/>
          <w:szCs w:val="16"/>
          <w:color w:val="auto"/>
        </w:rPr>
        <w:t xml:space="preserve"> outstanding as of February 17, 2026.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00" w:type="dxa"/>
            <w:vAlign w:val="bottom"/>
            <w:shd w:val="clear" w:color="auto" w:fill="C43776"/>
          </w:tcPr>
          <w:p>
            <w:pPr>
              <w:spacing w:after="0"/>
              <w:rPr>
                <w:sz w:val="24"/>
                <w:szCs w:val="24"/>
                <w:color w:val="auto"/>
              </w:rPr>
            </w:pPr>
          </w:p>
        </w:tc>
        <w:tc>
          <w:tcPr>
            <w:tcW w:w="2740" w:type="dxa"/>
            <w:vAlign w:val="bottom"/>
            <w:shd w:val="clear" w:color="auto" w:fill="C43776"/>
          </w:tcPr>
          <w:p>
            <w:pPr>
              <w:spacing w:after="0"/>
              <w:rPr>
                <w:sz w:val="24"/>
                <w:szCs w:val="24"/>
                <w:color w:val="auto"/>
              </w:rPr>
            </w:pPr>
          </w:p>
        </w:tc>
        <w:tc>
          <w:tcPr>
            <w:tcW w:w="2160" w:type="dxa"/>
            <w:vAlign w:val="bottom"/>
            <w:shd w:val="clear" w:color="auto" w:fill="C43776"/>
          </w:tcPr>
          <w:p>
            <w:pPr>
              <w:jc w:val="right"/>
              <w:ind w:right="368"/>
              <w:spacing w:after="0"/>
              <w:rPr>
                <w:sz w:val="20"/>
                <w:szCs w:val="20"/>
                <w:color w:val="auto"/>
              </w:rPr>
            </w:pPr>
            <w:r>
              <w:rPr>
                <w:rFonts w:ascii="Arial" w:cs="Arial" w:eastAsia="Arial" w:hAnsi="Arial"/>
                <w:sz w:val="14"/>
                <w:szCs w:val="14"/>
                <w:b w:val="1"/>
                <w:bCs w:val="1"/>
                <w:color w:val="FFFFFF"/>
              </w:rPr>
              <w:t>Common Shares</w:t>
            </w:r>
          </w:p>
        </w:tc>
        <w:tc>
          <w:tcPr>
            <w:tcW w:w="1500" w:type="dxa"/>
            <w:vAlign w:val="bottom"/>
            <w:shd w:val="clear" w:color="auto" w:fill="C43776"/>
          </w:tcPr>
          <w:p>
            <w:pPr>
              <w:spacing w:after="0"/>
              <w:rPr>
                <w:sz w:val="24"/>
                <w:szCs w:val="24"/>
                <w:color w:val="auto"/>
              </w:rPr>
            </w:pPr>
          </w:p>
        </w:tc>
        <w:tc>
          <w:tcPr>
            <w:tcW w:w="1340" w:type="dxa"/>
            <w:vAlign w:val="bottom"/>
            <w:shd w:val="clear" w:color="auto" w:fill="C43776"/>
          </w:tcPr>
          <w:p>
            <w:pPr>
              <w:spacing w:after="0"/>
              <w:rPr>
                <w:sz w:val="24"/>
                <w:szCs w:val="24"/>
                <w:color w:val="auto"/>
              </w:rPr>
            </w:pPr>
          </w:p>
        </w:tc>
        <w:tc>
          <w:tcPr>
            <w:tcW w:w="124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60"/>
        </w:trPr>
        <w:tc>
          <w:tcPr>
            <w:tcW w:w="100" w:type="dxa"/>
            <w:vAlign w:val="bottom"/>
            <w:shd w:val="clear" w:color="auto" w:fill="C43776"/>
          </w:tcPr>
          <w:p>
            <w:pPr>
              <w:spacing w:after="0"/>
              <w:rPr>
                <w:sz w:val="13"/>
                <w:szCs w:val="13"/>
                <w:color w:val="auto"/>
              </w:rPr>
            </w:pPr>
          </w:p>
        </w:tc>
        <w:tc>
          <w:tcPr>
            <w:tcW w:w="2740" w:type="dxa"/>
            <w:vAlign w:val="bottom"/>
            <w:shd w:val="clear" w:color="auto" w:fill="C43776"/>
          </w:tcPr>
          <w:p>
            <w:pPr>
              <w:spacing w:after="0"/>
              <w:rPr>
                <w:sz w:val="13"/>
                <w:szCs w:val="13"/>
                <w:color w:val="auto"/>
              </w:rPr>
            </w:pPr>
          </w:p>
        </w:tc>
        <w:tc>
          <w:tcPr>
            <w:tcW w:w="2160" w:type="dxa"/>
            <w:vAlign w:val="bottom"/>
            <w:shd w:val="clear" w:color="auto" w:fill="C43776"/>
          </w:tcPr>
          <w:p>
            <w:pPr>
              <w:jc w:val="right"/>
              <w:ind w:right="368"/>
              <w:spacing w:after="0" w:line="159" w:lineRule="exact"/>
              <w:rPr>
                <w:sz w:val="20"/>
                <w:szCs w:val="20"/>
                <w:color w:val="auto"/>
              </w:rPr>
            </w:pPr>
            <w:r>
              <w:rPr>
                <w:rFonts w:ascii="Arial" w:cs="Arial" w:eastAsia="Arial" w:hAnsi="Arial"/>
                <w:sz w:val="14"/>
                <w:szCs w:val="14"/>
                <w:b w:val="1"/>
                <w:bCs w:val="1"/>
                <w:color w:val="FFFFFF"/>
              </w:rPr>
              <w:t>Beneficially</w:t>
            </w:r>
          </w:p>
        </w:tc>
        <w:tc>
          <w:tcPr>
            <w:tcW w:w="1500" w:type="dxa"/>
            <w:vAlign w:val="bottom"/>
            <w:shd w:val="clear" w:color="auto" w:fill="C43776"/>
          </w:tcPr>
          <w:p>
            <w:pPr>
              <w:jc w:val="right"/>
              <w:ind w:right="348"/>
              <w:spacing w:after="0" w:line="159" w:lineRule="exact"/>
              <w:rPr>
                <w:sz w:val="20"/>
                <w:szCs w:val="20"/>
                <w:color w:val="auto"/>
              </w:rPr>
            </w:pPr>
            <w:r>
              <w:rPr>
                <w:rFonts w:ascii="Arial" w:cs="Arial" w:eastAsia="Arial" w:hAnsi="Arial"/>
                <w:sz w:val="14"/>
                <w:szCs w:val="14"/>
                <w:b w:val="1"/>
                <w:bCs w:val="1"/>
                <w:color w:val="FFFFFF"/>
              </w:rPr>
              <w:t>Right to</w:t>
            </w:r>
          </w:p>
        </w:tc>
        <w:tc>
          <w:tcPr>
            <w:tcW w:w="1340" w:type="dxa"/>
            <w:vAlign w:val="bottom"/>
            <w:shd w:val="clear" w:color="auto" w:fill="C43776"/>
          </w:tcPr>
          <w:p>
            <w:pPr>
              <w:spacing w:after="0"/>
              <w:rPr>
                <w:sz w:val="13"/>
                <w:szCs w:val="13"/>
                <w:color w:val="auto"/>
              </w:rPr>
            </w:pPr>
          </w:p>
        </w:tc>
        <w:tc>
          <w:tcPr>
            <w:tcW w:w="1240" w:type="dxa"/>
            <w:vAlign w:val="bottom"/>
            <w:shd w:val="clear" w:color="auto" w:fill="C43776"/>
          </w:tcPr>
          <w:p>
            <w:pPr>
              <w:jc w:val="right"/>
              <w:ind w:right="68"/>
              <w:spacing w:after="0" w:line="159" w:lineRule="exact"/>
              <w:rPr>
                <w:sz w:val="20"/>
                <w:szCs w:val="20"/>
                <w:color w:val="auto"/>
              </w:rPr>
            </w:pPr>
            <w:r>
              <w:rPr>
                <w:rFonts w:ascii="Arial" w:cs="Arial" w:eastAsia="Arial" w:hAnsi="Arial"/>
                <w:sz w:val="14"/>
                <w:szCs w:val="14"/>
                <w:b w:val="1"/>
                <w:bCs w:val="1"/>
                <w:color w:val="FFFFFF"/>
              </w:rPr>
              <w:t>Outstanding</w:t>
            </w:r>
          </w:p>
        </w:tc>
        <w:tc>
          <w:tcPr>
            <w:tcW w:w="0" w:type="dxa"/>
            <w:vAlign w:val="bottom"/>
          </w:tcPr>
          <w:p>
            <w:pPr>
              <w:spacing w:after="0"/>
              <w:rPr>
                <w:sz w:val="1"/>
                <w:szCs w:val="1"/>
                <w:color w:val="auto"/>
              </w:rPr>
            </w:pPr>
          </w:p>
        </w:tc>
      </w:tr>
      <w:tr>
        <w:trPr>
          <w:trHeight w:val="178"/>
        </w:trPr>
        <w:tc>
          <w:tcPr>
            <w:tcW w:w="100" w:type="dxa"/>
            <w:vAlign w:val="bottom"/>
            <w:shd w:val="clear" w:color="auto" w:fill="C43776"/>
          </w:tcPr>
          <w:p>
            <w:pPr>
              <w:spacing w:after="0"/>
              <w:rPr>
                <w:sz w:val="15"/>
                <w:szCs w:val="15"/>
                <w:color w:val="auto"/>
              </w:rPr>
            </w:pPr>
          </w:p>
        </w:tc>
        <w:tc>
          <w:tcPr>
            <w:tcW w:w="2740" w:type="dxa"/>
            <w:vAlign w:val="bottom"/>
            <w:vMerge w:val="restart"/>
            <w:shd w:val="clear" w:color="auto" w:fill="C43776"/>
          </w:tcPr>
          <w:p>
            <w:pPr>
              <w:ind w:left="40"/>
              <w:spacing w:after="0"/>
              <w:rPr>
                <w:sz w:val="20"/>
                <w:szCs w:val="20"/>
                <w:color w:val="auto"/>
              </w:rPr>
            </w:pPr>
            <w:r>
              <w:rPr>
                <w:rFonts w:ascii="Arial" w:cs="Arial" w:eastAsia="Arial" w:hAnsi="Arial"/>
                <w:sz w:val="14"/>
                <w:szCs w:val="14"/>
                <w:b w:val="1"/>
                <w:bCs w:val="1"/>
                <w:color w:val="FFFFFF"/>
              </w:rPr>
              <w:t>Name and Address</w:t>
            </w:r>
            <w:r>
              <w:rPr>
                <w:rFonts w:ascii="Arial" w:cs="Arial" w:eastAsia="Arial" w:hAnsi="Arial"/>
                <w:sz w:val="18"/>
                <w:szCs w:val="18"/>
                <w:b w:val="1"/>
                <w:bCs w:val="1"/>
                <w:color w:val="FFFFFF"/>
                <w:vertAlign w:val="superscript"/>
              </w:rPr>
              <w:t>(1)</w:t>
            </w:r>
          </w:p>
        </w:tc>
        <w:tc>
          <w:tcPr>
            <w:tcW w:w="2160" w:type="dxa"/>
            <w:vAlign w:val="bottom"/>
            <w:shd w:val="clear" w:color="auto" w:fill="C43776"/>
          </w:tcPr>
          <w:p>
            <w:pPr>
              <w:jc w:val="right"/>
              <w:ind w:right="368"/>
              <w:spacing w:after="0" w:line="178" w:lineRule="exact"/>
              <w:rPr>
                <w:sz w:val="20"/>
                <w:szCs w:val="20"/>
                <w:color w:val="auto"/>
              </w:rPr>
            </w:pPr>
            <w:r>
              <w:rPr>
                <w:rFonts w:ascii="Arial" w:cs="Arial" w:eastAsia="Arial" w:hAnsi="Arial"/>
                <w:sz w:val="14"/>
                <w:szCs w:val="14"/>
                <w:b w:val="1"/>
                <w:bCs w:val="1"/>
                <w:color w:val="FFFFFF"/>
              </w:rPr>
              <w:t>Owned</w:t>
            </w:r>
            <w:r>
              <w:rPr>
                <w:rFonts w:ascii="Arial" w:cs="Arial" w:eastAsia="Arial" w:hAnsi="Arial"/>
                <w:sz w:val="18"/>
                <w:szCs w:val="18"/>
                <w:b w:val="1"/>
                <w:bCs w:val="1"/>
                <w:color w:val="FFFFFF"/>
                <w:vertAlign w:val="superscript"/>
              </w:rPr>
              <w:t>(2)</w:t>
            </w:r>
          </w:p>
        </w:tc>
        <w:tc>
          <w:tcPr>
            <w:tcW w:w="1500" w:type="dxa"/>
            <w:vAlign w:val="bottom"/>
            <w:shd w:val="clear" w:color="auto" w:fill="C43776"/>
          </w:tcPr>
          <w:p>
            <w:pPr>
              <w:jc w:val="right"/>
              <w:ind w:right="348"/>
              <w:spacing w:after="0" w:line="178" w:lineRule="exact"/>
              <w:rPr>
                <w:sz w:val="20"/>
                <w:szCs w:val="20"/>
                <w:color w:val="auto"/>
              </w:rPr>
            </w:pPr>
            <w:r>
              <w:rPr>
                <w:rFonts w:ascii="Arial" w:cs="Arial" w:eastAsia="Arial" w:hAnsi="Arial"/>
                <w:sz w:val="14"/>
                <w:szCs w:val="14"/>
                <w:b w:val="1"/>
                <w:bCs w:val="1"/>
                <w:color w:val="FFFFFF"/>
              </w:rPr>
              <w:t>Acquire</w:t>
            </w:r>
            <w:r>
              <w:rPr>
                <w:rFonts w:ascii="Arial" w:cs="Arial" w:eastAsia="Arial" w:hAnsi="Arial"/>
                <w:sz w:val="18"/>
                <w:szCs w:val="18"/>
                <w:b w:val="1"/>
                <w:bCs w:val="1"/>
                <w:color w:val="FFFFFF"/>
                <w:vertAlign w:val="superscript"/>
              </w:rPr>
              <w:t>(3)</w:t>
            </w:r>
          </w:p>
        </w:tc>
        <w:tc>
          <w:tcPr>
            <w:tcW w:w="1340" w:type="dxa"/>
            <w:vAlign w:val="bottom"/>
            <w:shd w:val="clear" w:color="auto" w:fill="C43776"/>
          </w:tcPr>
          <w:p>
            <w:pPr>
              <w:jc w:val="right"/>
              <w:ind w:right="188"/>
              <w:spacing w:after="0" w:line="178" w:lineRule="exact"/>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(4)</w:t>
            </w:r>
          </w:p>
        </w:tc>
        <w:tc>
          <w:tcPr>
            <w:tcW w:w="124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85"/>
        </w:trPr>
        <w:tc>
          <w:tcPr>
            <w:tcW w:w="100" w:type="dxa"/>
            <w:vAlign w:val="bottom"/>
            <w:shd w:val="clear" w:color="auto" w:fill="C43776"/>
          </w:tcPr>
          <w:p>
            <w:pPr>
              <w:spacing w:after="0"/>
              <w:rPr>
                <w:sz w:val="16"/>
                <w:szCs w:val="16"/>
                <w:color w:val="auto"/>
              </w:rPr>
            </w:pPr>
          </w:p>
        </w:tc>
        <w:tc>
          <w:tcPr>
            <w:tcW w:w="2740" w:type="dxa"/>
            <w:vAlign w:val="bottom"/>
            <w:vMerge w:val="continue"/>
            <w:shd w:val="clear" w:color="auto" w:fill="C43776"/>
          </w:tcPr>
          <w:p>
            <w:pPr>
              <w:spacing w:after="0"/>
              <w:rPr>
                <w:sz w:val="16"/>
                <w:szCs w:val="16"/>
                <w:color w:val="auto"/>
              </w:rPr>
            </w:pPr>
          </w:p>
        </w:tc>
        <w:tc>
          <w:tcPr>
            <w:tcW w:w="2160" w:type="dxa"/>
            <w:vAlign w:val="bottom"/>
            <w:shd w:val="clear" w:color="auto" w:fill="C43776"/>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C4377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C43776"/>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4"/>
        </w:trPr>
        <w:tc>
          <w:tcPr>
            <w:tcW w:w="100" w:type="dxa"/>
            <w:vAlign w:val="bottom"/>
            <w:shd w:val="clear" w:color="auto" w:fill="C43776"/>
          </w:tcPr>
          <w:p>
            <w:pPr>
              <w:spacing w:after="0"/>
              <w:rPr>
                <w:sz w:val="8"/>
                <w:szCs w:val="8"/>
                <w:color w:val="auto"/>
              </w:rPr>
            </w:pPr>
          </w:p>
        </w:tc>
        <w:tc>
          <w:tcPr>
            <w:tcW w:w="2740" w:type="dxa"/>
            <w:vAlign w:val="bottom"/>
            <w:shd w:val="clear" w:color="auto" w:fill="C43776"/>
          </w:tcPr>
          <w:p>
            <w:pPr>
              <w:spacing w:after="0"/>
              <w:rPr>
                <w:sz w:val="8"/>
                <w:szCs w:val="8"/>
                <w:color w:val="auto"/>
              </w:rPr>
            </w:pPr>
          </w:p>
        </w:tc>
        <w:tc>
          <w:tcPr>
            <w:tcW w:w="2160" w:type="dxa"/>
            <w:vAlign w:val="bottom"/>
            <w:shd w:val="clear" w:color="auto" w:fill="C43776"/>
          </w:tcPr>
          <w:p>
            <w:pPr>
              <w:spacing w:after="0"/>
              <w:rPr>
                <w:sz w:val="8"/>
                <w:szCs w:val="8"/>
                <w:color w:val="auto"/>
              </w:rPr>
            </w:pPr>
          </w:p>
        </w:tc>
        <w:tc>
          <w:tcPr>
            <w:tcW w:w="1500" w:type="dxa"/>
            <w:vAlign w:val="bottom"/>
            <w:shd w:val="clear" w:color="auto" w:fill="C43776"/>
          </w:tcPr>
          <w:p>
            <w:pPr>
              <w:spacing w:after="0"/>
              <w:rPr>
                <w:sz w:val="8"/>
                <w:szCs w:val="8"/>
                <w:color w:val="auto"/>
              </w:rPr>
            </w:pPr>
          </w:p>
        </w:tc>
        <w:tc>
          <w:tcPr>
            <w:tcW w:w="1340" w:type="dxa"/>
            <w:vAlign w:val="bottom"/>
            <w:shd w:val="clear" w:color="auto" w:fill="C43776"/>
          </w:tcPr>
          <w:p>
            <w:pPr>
              <w:spacing w:after="0"/>
              <w:rPr>
                <w:sz w:val="8"/>
                <w:szCs w:val="8"/>
                <w:color w:val="auto"/>
              </w:rPr>
            </w:pPr>
          </w:p>
        </w:tc>
        <w:tc>
          <w:tcPr>
            <w:tcW w:w="124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Orbis Investments</w:t>
            </w:r>
            <w:r>
              <w:rPr>
                <w:rFonts w:ascii="Arial" w:cs="Arial" w:eastAsia="Arial" w:hAnsi="Arial"/>
                <w:sz w:val="18"/>
                <w:szCs w:val="18"/>
                <w:b w:val="1"/>
                <w:bCs w:val="1"/>
                <w:color w:val="auto"/>
                <w:vertAlign w:val="superscript"/>
              </w:rPr>
              <w:t>(5)</w:t>
            </w:r>
          </w:p>
        </w:tc>
        <w:tc>
          <w:tcPr>
            <w:tcW w:w="2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Orbis House, 25 Front Street,</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4,987,968</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4,987,968</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Hamilton, Bermuda HM11</w:t>
            </w:r>
          </w:p>
        </w:tc>
        <w:tc>
          <w:tcPr>
            <w:tcW w:w="2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00" w:type="dxa"/>
            <w:vAlign w:val="bottom"/>
            <w:shd w:val="clear" w:color="auto" w:fill="F1F2F2"/>
          </w:tcPr>
          <w:p>
            <w:pPr>
              <w:spacing w:after="0"/>
              <w:rPr>
                <w:sz w:val="23"/>
                <w:szCs w:val="23"/>
                <w:color w:val="auto"/>
              </w:rPr>
            </w:pPr>
          </w:p>
        </w:tc>
        <w:tc>
          <w:tcPr>
            <w:tcW w:w="27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Blackrock, Inc.</w:t>
            </w:r>
            <w:r>
              <w:rPr>
                <w:rFonts w:ascii="Arial" w:cs="Arial" w:eastAsia="Arial" w:hAnsi="Arial"/>
                <w:sz w:val="18"/>
                <w:szCs w:val="18"/>
                <w:b w:val="1"/>
                <w:bCs w:val="1"/>
                <w:color w:val="auto"/>
                <w:vertAlign w:val="superscript"/>
              </w:rPr>
              <w:t>(6)</w:t>
            </w:r>
          </w:p>
        </w:tc>
        <w:tc>
          <w:tcPr>
            <w:tcW w:w="2160" w:type="dxa"/>
            <w:vAlign w:val="bottom"/>
            <w:shd w:val="clear" w:color="auto" w:fill="F1F2F2"/>
          </w:tcPr>
          <w:p>
            <w:pPr>
              <w:spacing w:after="0"/>
              <w:rPr>
                <w:sz w:val="23"/>
                <w:szCs w:val="23"/>
                <w:color w:val="auto"/>
              </w:rPr>
            </w:pPr>
          </w:p>
        </w:tc>
        <w:tc>
          <w:tcPr>
            <w:tcW w:w="1500" w:type="dxa"/>
            <w:vAlign w:val="bottom"/>
            <w:shd w:val="clear" w:color="auto" w:fill="F1F2F2"/>
          </w:tcPr>
          <w:p>
            <w:pPr>
              <w:spacing w:after="0"/>
              <w:rPr>
                <w:sz w:val="23"/>
                <w:szCs w:val="23"/>
                <w:color w:val="auto"/>
              </w:rPr>
            </w:pPr>
          </w:p>
        </w:tc>
        <w:tc>
          <w:tcPr>
            <w:tcW w:w="1340" w:type="dxa"/>
            <w:vAlign w:val="bottom"/>
            <w:shd w:val="clear" w:color="auto" w:fill="F1F2F2"/>
          </w:tcPr>
          <w:p>
            <w:pPr>
              <w:spacing w:after="0"/>
              <w:rPr>
                <w:sz w:val="23"/>
                <w:szCs w:val="23"/>
                <w:color w:val="auto"/>
              </w:rPr>
            </w:pPr>
          </w:p>
        </w:tc>
        <w:tc>
          <w:tcPr>
            <w:tcW w:w="124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F1F2F2"/>
          </w:tcPr>
          <w:p>
            <w:pPr>
              <w:spacing w:after="0"/>
              <w:rPr>
                <w:sz w:val="15"/>
                <w:szCs w:val="15"/>
                <w:color w:val="auto"/>
              </w:rPr>
            </w:pPr>
          </w:p>
        </w:tc>
        <w:tc>
          <w:tcPr>
            <w:tcW w:w="2740" w:type="dxa"/>
            <w:vAlign w:val="bottom"/>
            <w:shd w:val="clear" w:color="auto" w:fill="F1F2F2"/>
          </w:tcPr>
          <w:p>
            <w:pPr>
              <w:ind w:left="40"/>
              <w:spacing w:after="0"/>
              <w:rPr>
                <w:sz w:val="20"/>
                <w:szCs w:val="20"/>
                <w:color w:val="auto"/>
              </w:rPr>
            </w:pPr>
            <w:r>
              <w:rPr>
                <w:rFonts w:ascii="Arial" w:cs="Arial" w:eastAsia="Arial" w:hAnsi="Arial"/>
                <w:sz w:val="14"/>
                <w:szCs w:val="14"/>
                <w:color w:val="auto"/>
              </w:rPr>
              <w:t>55 East 52nd Street</w:t>
            </w:r>
          </w:p>
        </w:tc>
        <w:tc>
          <w:tcPr>
            <w:tcW w:w="216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4,972,482</w:t>
            </w:r>
          </w:p>
        </w:tc>
        <w:tc>
          <w:tcPr>
            <w:tcW w:w="150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4,972,482</w:t>
            </w:r>
          </w:p>
        </w:tc>
        <w:tc>
          <w:tcPr>
            <w:tcW w:w="124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90"/>
        </w:trPr>
        <w:tc>
          <w:tcPr>
            <w:tcW w:w="100" w:type="dxa"/>
            <w:vAlign w:val="bottom"/>
            <w:shd w:val="clear" w:color="auto" w:fill="F1F2F2"/>
          </w:tcPr>
          <w:p>
            <w:pPr>
              <w:spacing w:after="0"/>
              <w:rPr>
                <w:sz w:val="16"/>
                <w:szCs w:val="16"/>
                <w:color w:val="auto"/>
              </w:rPr>
            </w:pPr>
          </w:p>
        </w:tc>
        <w:tc>
          <w:tcPr>
            <w:tcW w:w="2740" w:type="dxa"/>
            <w:vAlign w:val="bottom"/>
            <w:shd w:val="clear" w:color="auto" w:fill="F1F2F2"/>
          </w:tcPr>
          <w:p>
            <w:pPr>
              <w:ind w:left="40"/>
              <w:spacing w:after="0"/>
              <w:rPr>
                <w:sz w:val="20"/>
                <w:szCs w:val="20"/>
                <w:color w:val="auto"/>
              </w:rPr>
            </w:pPr>
            <w:r>
              <w:rPr>
                <w:rFonts w:ascii="Arial" w:cs="Arial" w:eastAsia="Arial" w:hAnsi="Arial"/>
                <w:sz w:val="14"/>
                <w:szCs w:val="14"/>
                <w:color w:val="auto"/>
              </w:rPr>
              <w:t>New York, NY 10055</w:t>
            </w:r>
          </w:p>
        </w:tc>
        <w:tc>
          <w:tcPr>
            <w:tcW w:w="2160" w:type="dxa"/>
            <w:vAlign w:val="bottom"/>
            <w:shd w:val="clear" w:color="auto" w:fill="F1F2F2"/>
          </w:tcPr>
          <w:p>
            <w:pPr>
              <w:spacing w:after="0"/>
              <w:rPr>
                <w:sz w:val="16"/>
                <w:szCs w:val="16"/>
                <w:color w:val="auto"/>
              </w:rPr>
            </w:pPr>
          </w:p>
        </w:tc>
        <w:tc>
          <w:tcPr>
            <w:tcW w:w="1500" w:type="dxa"/>
            <w:vAlign w:val="bottom"/>
            <w:shd w:val="clear" w:color="auto" w:fill="F1F2F2"/>
          </w:tcPr>
          <w:p>
            <w:pPr>
              <w:spacing w:after="0"/>
              <w:rPr>
                <w:sz w:val="16"/>
                <w:szCs w:val="16"/>
                <w:color w:val="auto"/>
              </w:rPr>
            </w:pPr>
          </w:p>
        </w:tc>
        <w:tc>
          <w:tcPr>
            <w:tcW w:w="134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00" w:type="dxa"/>
            <w:vAlign w:val="bottom"/>
            <w:shd w:val="clear" w:color="auto" w:fill="F1F2F2"/>
          </w:tcPr>
          <w:p>
            <w:pPr>
              <w:spacing w:after="0"/>
              <w:rPr>
                <w:sz w:val="6"/>
                <w:szCs w:val="6"/>
                <w:color w:val="auto"/>
              </w:rPr>
            </w:pPr>
          </w:p>
        </w:tc>
        <w:tc>
          <w:tcPr>
            <w:tcW w:w="2740" w:type="dxa"/>
            <w:vAlign w:val="bottom"/>
            <w:shd w:val="clear" w:color="auto" w:fill="F1F2F2"/>
          </w:tcPr>
          <w:p>
            <w:pPr>
              <w:spacing w:after="0"/>
              <w:rPr>
                <w:sz w:val="6"/>
                <w:szCs w:val="6"/>
                <w:color w:val="auto"/>
              </w:rPr>
            </w:pPr>
          </w:p>
        </w:tc>
        <w:tc>
          <w:tcPr>
            <w:tcW w:w="2160" w:type="dxa"/>
            <w:vAlign w:val="bottom"/>
            <w:shd w:val="clear" w:color="auto" w:fill="F1F2F2"/>
          </w:tcPr>
          <w:p>
            <w:pPr>
              <w:spacing w:after="0"/>
              <w:rPr>
                <w:sz w:val="6"/>
                <w:szCs w:val="6"/>
                <w:color w:val="auto"/>
              </w:rPr>
            </w:pPr>
          </w:p>
        </w:tc>
        <w:tc>
          <w:tcPr>
            <w:tcW w:w="1500" w:type="dxa"/>
            <w:vAlign w:val="bottom"/>
            <w:shd w:val="clear" w:color="auto" w:fill="F1F2F2"/>
          </w:tcPr>
          <w:p>
            <w:pPr>
              <w:spacing w:after="0"/>
              <w:rPr>
                <w:sz w:val="6"/>
                <w:szCs w:val="6"/>
                <w:color w:val="auto"/>
              </w:rPr>
            </w:pPr>
          </w:p>
        </w:tc>
        <w:tc>
          <w:tcPr>
            <w:tcW w:w="1340" w:type="dxa"/>
            <w:vAlign w:val="bottom"/>
            <w:shd w:val="clear" w:color="auto" w:fill="F1F2F2"/>
          </w:tcPr>
          <w:p>
            <w:pPr>
              <w:spacing w:after="0"/>
              <w:rPr>
                <w:sz w:val="6"/>
                <w:szCs w:val="6"/>
                <w:color w:val="auto"/>
              </w:rPr>
            </w:pPr>
          </w:p>
        </w:tc>
        <w:tc>
          <w:tcPr>
            <w:tcW w:w="124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JPMORGAN CHASE &amp; CO.</w:t>
            </w:r>
            <w:r>
              <w:rPr>
                <w:rFonts w:ascii="Arial" w:cs="Arial" w:eastAsia="Arial" w:hAnsi="Arial"/>
                <w:sz w:val="18"/>
                <w:szCs w:val="18"/>
                <w:b w:val="1"/>
                <w:bCs w:val="1"/>
                <w:color w:val="auto"/>
                <w:vertAlign w:val="superscript"/>
              </w:rPr>
              <w:t>(7)</w:t>
            </w:r>
          </w:p>
        </w:tc>
        <w:tc>
          <w:tcPr>
            <w:tcW w:w="2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383 Madison Avenue</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4,255,951</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4,255,951</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New York, NY 10179</w:t>
            </w:r>
          </w:p>
        </w:tc>
        <w:tc>
          <w:tcPr>
            <w:tcW w:w="2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C43776"/>
            </w:tcBorders>
          </w:tcPr>
          <w:p>
            <w:pPr>
              <w:spacing w:after="0"/>
              <w:rPr>
                <w:sz w:val="6"/>
                <w:szCs w:val="6"/>
                <w:color w:val="auto"/>
              </w:rPr>
            </w:pPr>
          </w:p>
        </w:tc>
        <w:tc>
          <w:tcPr>
            <w:tcW w:w="2740" w:type="dxa"/>
            <w:vAlign w:val="bottom"/>
            <w:tcBorders>
              <w:bottom w:val="single" w:sz="8" w:color="C43776"/>
            </w:tcBorders>
          </w:tcPr>
          <w:p>
            <w:pPr>
              <w:spacing w:after="0"/>
              <w:rPr>
                <w:sz w:val="6"/>
                <w:szCs w:val="6"/>
                <w:color w:val="auto"/>
              </w:rPr>
            </w:pPr>
          </w:p>
        </w:tc>
        <w:tc>
          <w:tcPr>
            <w:tcW w:w="2160" w:type="dxa"/>
            <w:vAlign w:val="bottom"/>
            <w:tcBorders>
              <w:bottom w:val="single" w:sz="8" w:color="C43776"/>
            </w:tcBorders>
          </w:tcPr>
          <w:p>
            <w:pPr>
              <w:spacing w:after="0"/>
              <w:rPr>
                <w:sz w:val="6"/>
                <w:szCs w:val="6"/>
                <w:color w:val="auto"/>
              </w:rPr>
            </w:pPr>
          </w:p>
        </w:tc>
        <w:tc>
          <w:tcPr>
            <w:tcW w:w="1500" w:type="dxa"/>
            <w:vAlign w:val="bottom"/>
            <w:tcBorders>
              <w:bottom w:val="single" w:sz="8" w:color="C43776"/>
            </w:tcBorders>
          </w:tcPr>
          <w:p>
            <w:pPr>
              <w:spacing w:after="0"/>
              <w:rPr>
                <w:sz w:val="6"/>
                <w:szCs w:val="6"/>
                <w:color w:val="auto"/>
              </w:rPr>
            </w:pPr>
          </w:p>
        </w:tc>
        <w:tc>
          <w:tcPr>
            <w:tcW w:w="1340" w:type="dxa"/>
            <w:vAlign w:val="bottom"/>
            <w:tcBorders>
              <w:bottom w:val="single" w:sz="8" w:color="C43776"/>
            </w:tcBorders>
          </w:tcPr>
          <w:p>
            <w:pPr>
              <w:spacing w:after="0"/>
              <w:rPr>
                <w:sz w:val="6"/>
                <w:szCs w:val="6"/>
                <w:color w:val="auto"/>
              </w:rPr>
            </w:pPr>
          </w:p>
        </w:tc>
        <w:tc>
          <w:tcPr>
            <w:tcW w:w="1240" w:type="dxa"/>
            <w:vAlign w:val="bottom"/>
            <w:tcBorders>
              <w:bottom w:val="single" w:sz="8" w:color="C43776"/>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00" w:type="dxa"/>
            <w:vAlign w:val="bottom"/>
            <w:shd w:val="clear" w:color="auto" w:fill="C43776"/>
          </w:tcPr>
          <w:p>
            <w:pPr>
              <w:spacing w:after="0"/>
              <w:rPr>
                <w:sz w:val="24"/>
                <w:szCs w:val="24"/>
                <w:color w:val="auto"/>
              </w:rPr>
            </w:pPr>
          </w:p>
        </w:tc>
        <w:tc>
          <w:tcPr>
            <w:tcW w:w="274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Directors and NEOs:</w:t>
            </w:r>
          </w:p>
        </w:tc>
        <w:tc>
          <w:tcPr>
            <w:tcW w:w="2160" w:type="dxa"/>
            <w:vAlign w:val="bottom"/>
            <w:shd w:val="clear" w:color="auto" w:fill="C43776"/>
          </w:tcPr>
          <w:p>
            <w:pPr>
              <w:spacing w:after="0"/>
              <w:rPr>
                <w:sz w:val="24"/>
                <w:szCs w:val="24"/>
                <w:color w:val="auto"/>
              </w:rPr>
            </w:pPr>
          </w:p>
        </w:tc>
        <w:tc>
          <w:tcPr>
            <w:tcW w:w="1500" w:type="dxa"/>
            <w:vAlign w:val="bottom"/>
            <w:shd w:val="clear" w:color="auto" w:fill="C43776"/>
          </w:tcPr>
          <w:p>
            <w:pPr>
              <w:spacing w:after="0"/>
              <w:rPr>
                <w:sz w:val="24"/>
                <w:szCs w:val="24"/>
                <w:color w:val="auto"/>
              </w:rPr>
            </w:pPr>
          </w:p>
        </w:tc>
        <w:tc>
          <w:tcPr>
            <w:tcW w:w="1340" w:type="dxa"/>
            <w:vAlign w:val="bottom"/>
            <w:shd w:val="clear" w:color="auto" w:fill="C43776"/>
          </w:tcPr>
          <w:p>
            <w:pPr>
              <w:spacing w:after="0"/>
              <w:rPr>
                <w:sz w:val="24"/>
                <w:szCs w:val="24"/>
                <w:color w:val="auto"/>
              </w:rPr>
            </w:pPr>
          </w:p>
        </w:tc>
        <w:tc>
          <w:tcPr>
            <w:tcW w:w="1240" w:type="dxa"/>
            <w:vAlign w:val="bottom"/>
            <w:shd w:val="clear" w:color="auto" w:fill="C43776"/>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00" w:type="dxa"/>
            <w:vAlign w:val="bottom"/>
            <w:shd w:val="clear" w:color="auto" w:fill="C43776"/>
          </w:tcPr>
          <w:p>
            <w:pPr>
              <w:spacing w:after="0"/>
              <w:rPr>
                <w:sz w:val="8"/>
                <w:szCs w:val="8"/>
                <w:color w:val="auto"/>
              </w:rPr>
            </w:pPr>
          </w:p>
        </w:tc>
        <w:tc>
          <w:tcPr>
            <w:tcW w:w="2740" w:type="dxa"/>
            <w:vAlign w:val="bottom"/>
            <w:shd w:val="clear" w:color="auto" w:fill="C43776"/>
          </w:tcPr>
          <w:p>
            <w:pPr>
              <w:spacing w:after="0"/>
              <w:rPr>
                <w:sz w:val="8"/>
                <w:szCs w:val="8"/>
                <w:color w:val="auto"/>
              </w:rPr>
            </w:pPr>
          </w:p>
        </w:tc>
        <w:tc>
          <w:tcPr>
            <w:tcW w:w="2160" w:type="dxa"/>
            <w:vAlign w:val="bottom"/>
            <w:shd w:val="clear" w:color="auto" w:fill="C43776"/>
          </w:tcPr>
          <w:p>
            <w:pPr>
              <w:spacing w:after="0"/>
              <w:rPr>
                <w:sz w:val="8"/>
                <w:szCs w:val="8"/>
                <w:color w:val="auto"/>
              </w:rPr>
            </w:pPr>
          </w:p>
        </w:tc>
        <w:tc>
          <w:tcPr>
            <w:tcW w:w="1500" w:type="dxa"/>
            <w:vAlign w:val="bottom"/>
            <w:shd w:val="clear" w:color="auto" w:fill="C43776"/>
          </w:tcPr>
          <w:p>
            <w:pPr>
              <w:spacing w:after="0"/>
              <w:rPr>
                <w:sz w:val="8"/>
                <w:szCs w:val="8"/>
                <w:color w:val="auto"/>
              </w:rPr>
            </w:pPr>
          </w:p>
        </w:tc>
        <w:tc>
          <w:tcPr>
            <w:tcW w:w="1340" w:type="dxa"/>
            <w:vAlign w:val="bottom"/>
            <w:shd w:val="clear" w:color="auto" w:fill="C43776"/>
          </w:tcPr>
          <w:p>
            <w:pPr>
              <w:spacing w:after="0"/>
              <w:rPr>
                <w:sz w:val="8"/>
                <w:szCs w:val="8"/>
                <w:color w:val="auto"/>
              </w:rPr>
            </w:pPr>
          </w:p>
        </w:tc>
        <w:tc>
          <w:tcPr>
            <w:tcW w:w="124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10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Ronald F. Clarke</w:t>
            </w:r>
            <w:r>
              <w:rPr>
                <w:rFonts w:ascii="Arial" w:cs="Arial" w:eastAsia="Arial" w:hAnsi="Arial"/>
                <w:sz w:val="18"/>
                <w:szCs w:val="18"/>
                <w:b w:val="1"/>
                <w:bCs w:val="1"/>
                <w:color w:val="auto"/>
                <w:vertAlign w:val="superscript"/>
              </w:rPr>
              <w:t>(8)</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2,344,870</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850,000</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3,194,870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5"/>
        </w:trPr>
        <w:tc>
          <w:tcPr>
            <w:tcW w:w="100" w:type="dxa"/>
            <w:vAlign w:val="bottom"/>
            <w:tcBorders>
              <w:bottom w:val="single" w:sz="8" w:color="F1F2F2"/>
            </w:tcBorders>
            <w:shd w:val="clear" w:color="auto" w:fill="F1F2F2"/>
          </w:tcPr>
          <w:p>
            <w:pPr>
              <w:spacing w:after="0"/>
              <w:rPr>
                <w:sz w:val="24"/>
                <w:szCs w:val="24"/>
                <w:color w:val="auto"/>
              </w:rPr>
            </w:pPr>
          </w:p>
        </w:tc>
        <w:tc>
          <w:tcPr>
            <w:tcW w:w="274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4"/>
                <w:szCs w:val="14"/>
                <w:b w:val="1"/>
                <w:bCs w:val="1"/>
                <w:color w:val="auto"/>
              </w:rPr>
              <w:t>Peter Walker</w:t>
            </w:r>
            <w:r>
              <w:rPr>
                <w:rFonts w:ascii="Arial" w:cs="Arial" w:eastAsia="Arial" w:hAnsi="Arial"/>
                <w:sz w:val="18"/>
                <w:szCs w:val="18"/>
                <w:b w:val="1"/>
                <w:bCs w:val="1"/>
                <w:color w:val="auto"/>
                <w:vertAlign w:val="superscript"/>
              </w:rPr>
              <w:t>(9)</w:t>
            </w:r>
          </w:p>
        </w:tc>
        <w:tc>
          <w:tcPr>
            <w:tcW w:w="216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934</w:t>
            </w:r>
          </w:p>
        </w:tc>
        <w:tc>
          <w:tcPr>
            <w:tcW w:w="15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934</w:t>
            </w:r>
          </w:p>
        </w:tc>
        <w:tc>
          <w:tcPr>
            <w:tcW w:w="124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7"/>
        </w:trPr>
        <w:tc>
          <w:tcPr>
            <w:tcW w:w="10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Alissa B. Vickery</w:t>
            </w:r>
            <w:r>
              <w:rPr>
                <w:rFonts w:ascii="Arial" w:cs="Arial" w:eastAsia="Arial" w:hAnsi="Arial"/>
                <w:sz w:val="18"/>
                <w:szCs w:val="18"/>
                <w:b w:val="1"/>
                <w:bCs w:val="1"/>
                <w:color w:val="auto"/>
                <w:vertAlign w:val="superscript"/>
              </w:rPr>
              <w:t>(10)</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907</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6,152</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7,059</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100" w:type="dxa"/>
            <w:vAlign w:val="bottom"/>
            <w:tcBorders>
              <w:bottom w:val="single" w:sz="8" w:color="F1F2F2"/>
            </w:tcBorders>
            <w:shd w:val="clear" w:color="auto" w:fill="F1F2F2"/>
          </w:tcPr>
          <w:p>
            <w:pPr>
              <w:spacing w:after="0"/>
              <w:rPr>
                <w:sz w:val="24"/>
                <w:szCs w:val="24"/>
                <w:color w:val="auto"/>
              </w:rPr>
            </w:pPr>
          </w:p>
        </w:tc>
        <w:tc>
          <w:tcPr>
            <w:tcW w:w="274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4"/>
                <w:szCs w:val="14"/>
                <w:b w:val="1"/>
                <w:bCs w:val="1"/>
                <w:color w:val="auto"/>
              </w:rPr>
              <w:t>Armando L. Netto</w:t>
            </w:r>
            <w:r>
              <w:rPr>
                <w:rFonts w:ascii="Arial" w:cs="Arial" w:eastAsia="Arial" w:hAnsi="Arial"/>
                <w:sz w:val="18"/>
                <w:szCs w:val="18"/>
                <w:b w:val="1"/>
                <w:bCs w:val="1"/>
                <w:color w:val="auto"/>
                <w:vertAlign w:val="superscript"/>
              </w:rPr>
              <w:t>(11)</w:t>
            </w:r>
          </w:p>
        </w:tc>
        <w:tc>
          <w:tcPr>
            <w:tcW w:w="216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28,137</w:t>
            </w:r>
          </w:p>
        </w:tc>
        <w:tc>
          <w:tcPr>
            <w:tcW w:w="15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97,624</w:t>
            </w:r>
          </w:p>
        </w:tc>
        <w:tc>
          <w:tcPr>
            <w:tcW w:w="134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125,761</w:t>
            </w:r>
          </w:p>
        </w:tc>
        <w:tc>
          <w:tcPr>
            <w:tcW w:w="124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7"/>
        </w:trPr>
        <w:tc>
          <w:tcPr>
            <w:tcW w:w="10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Alan King</w:t>
            </w:r>
            <w:r>
              <w:rPr>
                <w:rFonts w:ascii="Arial" w:cs="Arial" w:eastAsia="Arial" w:hAnsi="Arial"/>
                <w:sz w:val="18"/>
                <w:szCs w:val="18"/>
                <w:b w:val="1"/>
                <w:bCs w:val="1"/>
                <w:color w:val="auto"/>
                <w:vertAlign w:val="superscript"/>
              </w:rPr>
              <w:t>(12)</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21,620</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116,197</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137,817</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27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Annabelle Bexiga</w:t>
            </w:r>
          </w:p>
        </w:tc>
        <w:tc>
          <w:tcPr>
            <w:tcW w:w="216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3,440</w:t>
            </w:r>
          </w:p>
        </w:tc>
        <w:tc>
          <w:tcPr>
            <w:tcW w:w="150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3,440</w:t>
            </w:r>
          </w:p>
        </w:tc>
        <w:tc>
          <w:tcPr>
            <w:tcW w:w="124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100" w:type="dxa"/>
            <w:vAlign w:val="bottom"/>
            <w:shd w:val="clear" w:color="auto" w:fill="F1F2F2"/>
          </w:tcPr>
          <w:p>
            <w:pPr>
              <w:spacing w:after="0"/>
              <w:rPr>
                <w:sz w:val="6"/>
                <w:szCs w:val="6"/>
                <w:color w:val="auto"/>
              </w:rPr>
            </w:pPr>
          </w:p>
        </w:tc>
        <w:tc>
          <w:tcPr>
            <w:tcW w:w="2740" w:type="dxa"/>
            <w:vAlign w:val="bottom"/>
            <w:shd w:val="clear" w:color="auto" w:fill="F1F2F2"/>
          </w:tcPr>
          <w:p>
            <w:pPr>
              <w:spacing w:after="0"/>
              <w:rPr>
                <w:sz w:val="6"/>
                <w:szCs w:val="6"/>
                <w:color w:val="auto"/>
              </w:rPr>
            </w:pPr>
          </w:p>
        </w:tc>
        <w:tc>
          <w:tcPr>
            <w:tcW w:w="2160" w:type="dxa"/>
            <w:vAlign w:val="bottom"/>
            <w:shd w:val="clear" w:color="auto" w:fill="F1F2F2"/>
          </w:tcPr>
          <w:p>
            <w:pPr>
              <w:spacing w:after="0"/>
              <w:rPr>
                <w:sz w:val="6"/>
                <w:szCs w:val="6"/>
                <w:color w:val="auto"/>
              </w:rPr>
            </w:pPr>
          </w:p>
        </w:tc>
        <w:tc>
          <w:tcPr>
            <w:tcW w:w="1500" w:type="dxa"/>
            <w:vAlign w:val="bottom"/>
            <w:shd w:val="clear" w:color="auto" w:fill="F1F2F2"/>
          </w:tcPr>
          <w:p>
            <w:pPr>
              <w:spacing w:after="0"/>
              <w:rPr>
                <w:sz w:val="6"/>
                <w:szCs w:val="6"/>
                <w:color w:val="auto"/>
              </w:rPr>
            </w:pPr>
          </w:p>
        </w:tc>
        <w:tc>
          <w:tcPr>
            <w:tcW w:w="1340" w:type="dxa"/>
            <w:vAlign w:val="bottom"/>
            <w:shd w:val="clear" w:color="auto" w:fill="F1F2F2"/>
          </w:tcPr>
          <w:p>
            <w:pPr>
              <w:spacing w:after="0"/>
              <w:rPr>
                <w:sz w:val="6"/>
                <w:szCs w:val="6"/>
                <w:color w:val="auto"/>
              </w:rPr>
            </w:pPr>
          </w:p>
        </w:tc>
        <w:tc>
          <w:tcPr>
            <w:tcW w:w="124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David L. Bunch</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27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Joseph W. Farrelly</w:t>
            </w:r>
          </w:p>
        </w:tc>
        <w:tc>
          <w:tcPr>
            <w:tcW w:w="2160" w:type="dxa"/>
            <w:vAlign w:val="bottom"/>
            <w:shd w:val="clear" w:color="auto" w:fill="F1F2F2"/>
          </w:tcPr>
          <w:p>
            <w:pPr>
              <w:jc w:val="right"/>
              <w:ind w:right="388"/>
              <w:spacing w:after="0"/>
              <w:rPr>
                <w:sz w:val="20"/>
                <w:szCs w:val="20"/>
                <w:color w:val="auto"/>
              </w:rPr>
            </w:pPr>
            <w:r>
              <w:rPr>
                <w:rFonts w:ascii="Arial" w:cs="Arial" w:eastAsia="Arial" w:hAnsi="Arial"/>
                <w:sz w:val="14"/>
                <w:szCs w:val="14"/>
                <w:color w:val="auto"/>
              </w:rPr>
              <w:t>11,326</w:t>
            </w:r>
          </w:p>
        </w:tc>
        <w:tc>
          <w:tcPr>
            <w:tcW w:w="150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11,326</w:t>
            </w:r>
          </w:p>
        </w:tc>
        <w:tc>
          <w:tcPr>
            <w:tcW w:w="124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00" w:type="dxa"/>
            <w:vAlign w:val="bottom"/>
            <w:shd w:val="clear" w:color="auto" w:fill="F1F2F2"/>
          </w:tcPr>
          <w:p>
            <w:pPr>
              <w:spacing w:after="0"/>
              <w:rPr>
                <w:sz w:val="6"/>
                <w:szCs w:val="6"/>
                <w:color w:val="auto"/>
              </w:rPr>
            </w:pPr>
          </w:p>
        </w:tc>
        <w:tc>
          <w:tcPr>
            <w:tcW w:w="2740" w:type="dxa"/>
            <w:vAlign w:val="bottom"/>
            <w:shd w:val="clear" w:color="auto" w:fill="F1F2F2"/>
          </w:tcPr>
          <w:p>
            <w:pPr>
              <w:spacing w:after="0"/>
              <w:rPr>
                <w:sz w:val="6"/>
                <w:szCs w:val="6"/>
                <w:color w:val="auto"/>
              </w:rPr>
            </w:pPr>
          </w:p>
        </w:tc>
        <w:tc>
          <w:tcPr>
            <w:tcW w:w="2160" w:type="dxa"/>
            <w:vAlign w:val="bottom"/>
            <w:shd w:val="clear" w:color="auto" w:fill="F1F2F2"/>
          </w:tcPr>
          <w:p>
            <w:pPr>
              <w:spacing w:after="0"/>
              <w:rPr>
                <w:sz w:val="6"/>
                <w:szCs w:val="6"/>
                <w:color w:val="auto"/>
              </w:rPr>
            </w:pPr>
          </w:p>
        </w:tc>
        <w:tc>
          <w:tcPr>
            <w:tcW w:w="1500" w:type="dxa"/>
            <w:vAlign w:val="bottom"/>
            <w:shd w:val="clear" w:color="auto" w:fill="F1F2F2"/>
          </w:tcPr>
          <w:p>
            <w:pPr>
              <w:spacing w:after="0"/>
              <w:rPr>
                <w:sz w:val="6"/>
                <w:szCs w:val="6"/>
                <w:color w:val="auto"/>
              </w:rPr>
            </w:pPr>
          </w:p>
        </w:tc>
        <w:tc>
          <w:tcPr>
            <w:tcW w:w="1340" w:type="dxa"/>
            <w:vAlign w:val="bottom"/>
            <w:shd w:val="clear" w:color="auto" w:fill="F1F2F2"/>
          </w:tcPr>
          <w:p>
            <w:pPr>
              <w:spacing w:after="0"/>
              <w:rPr>
                <w:sz w:val="6"/>
                <w:szCs w:val="6"/>
                <w:color w:val="auto"/>
              </w:rPr>
            </w:pPr>
          </w:p>
        </w:tc>
        <w:tc>
          <w:tcPr>
            <w:tcW w:w="124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Rahul Gupta</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2,713</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2,713</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100" w:type="dxa"/>
            <w:vAlign w:val="bottom"/>
            <w:tcBorders>
              <w:bottom w:val="single" w:sz="8" w:color="F1F2F2"/>
            </w:tcBorders>
            <w:shd w:val="clear" w:color="auto" w:fill="F1F2F2"/>
          </w:tcPr>
          <w:p>
            <w:pPr>
              <w:spacing w:after="0"/>
              <w:rPr>
                <w:sz w:val="24"/>
                <w:szCs w:val="24"/>
                <w:color w:val="auto"/>
              </w:rPr>
            </w:pPr>
          </w:p>
        </w:tc>
        <w:tc>
          <w:tcPr>
            <w:tcW w:w="274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4"/>
                <w:szCs w:val="14"/>
                <w:b w:val="1"/>
                <w:bCs w:val="1"/>
                <w:color w:val="auto"/>
              </w:rPr>
              <w:t>Thomas M. Hagerty</w:t>
            </w:r>
            <w:r>
              <w:rPr>
                <w:rFonts w:ascii="Arial" w:cs="Arial" w:eastAsia="Arial" w:hAnsi="Arial"/>
                <w:sz w:val="18"/>
                <w:szCs w:val="18"/>
                <w:b w:val="1"/>
                <w:bCs w:val="1"/>
                <w:color w:val="auto"/>
                <w:vertAlign w:val="superscript"/>
              </w:rPr>
              <w:t>(13)</w:t>
            </w:r>
          </w:p>
        </w:tc>
        <w:tc>
          <w:tcPr>
            <w:tcW w:w="216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9,222</w:t>
            </w:r>
          </w:p>
        </w:tc>
        <w:tc>
          <w:tcPr>
            <w:tcW w:w="150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6,828</w:t>
            </w:r>
          </w:p>
        </w:tc>
        <w:tc>
          <w:tcPr>
            <w:tcW w:w="134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16,050</w:t>
            </w:r>
          </w:p>
        </w:tc>
        <w:tc>
          <w:tcPr>
            <w:tcW w:w="124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Archie L. Jones, Jr.</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3,944</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3,944</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27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Richard Macchia</w:t>
            </w:r>
          </w:p>
        </w:tc>
        <w:tc>
          <w:tcPr>
            <w:tcW w:w="216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12,795</w:t>
            </w:r>
          </w:p>
        </w:tc>
        <w:tc>
          <w:tcPr>
            <w:tcW w:w="150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12,795</w:t>
            </w:r>
          </w:p>
        </w:tc>
        <w:tc>
          <w:tcPr>
            <w:tcW w:w="124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00" w:type="dxa"/>
            <w:vAlign w:val="bottom"/>
            <w:shd w:val="clear" w:color="auto" w:fill="F1F2F2"/>
          </w:tcPr>
          <w:p>
            <w:pPr>
              <w:spacing w:after="0"/>
              <w:rPr>
                <w:sz w:val="6"/>
                <w:szCs w:val="6"/>
                <w:color w:val="auto"/>
              </w:rPr>
            </w:pPr>
          </w:p>
        </w:tc>
        <w:tc>
          <w:tcPr>
            <w:tcW w:w="2740" w:type="dxa"/>
            <w:vAlign w:val="bottom"/>
            <w:shd w:val="clear" w:color="auto" w:fill="F1F2F2"/>
          </w:tcPr>
          <w:p>
            <w:pPr>
              <w:spacing w:after="0"/>
              <w:rPr>
                <w:sz w:val="6"/>
                <w:szCs w:val="6"/>
                <w:color w:val="auto"/>
              </w:rPr>
            </w:pPr>
          </w:p>
        </w:tc>
        <w:tc>
          <w:tcPr>
            <w:tcW w:w="2160" w:type="dxa"/>
            <w:vAlign w:val="bottom"/>
            <w:shd w:val="clear" w:color="auto" w:fill="F1F2F2"/>
          </w:tcPr>
          <w:p>
            <w:pPr>
              <w:spacing w:after="0"/>
              <w:rPr>
                <w:sz w:val="6"/>
                <w:szCs w:val="6"/>
                <w:color w:val="auto"/>
              </w:rPr>
            </w:pPr>
          </w:p>
        </w:tc>
        <w:tc>
          <w:tcPr>
            <w:tcW w:w="1500" w:type="dxa"/>
            <w:vAlign w:val="bottom"/>
            <w:shd w:val="clear" w:color="auto" w:fill="F1F2F2"/>
          </w:tcPr>
          <w:p>
            <w:pPr>
              <w:spacing w:after="0"/>
              <w:rPr>
                <w:sz w:val="6"/>
                <w:szCs w:val="6"/>
                <w:color w:val="auto"/>
              </w:rPr>
            </w:pPr>
          </w:p>
        </w:tc>
        <w:tc>
          <w:tcPr>
            <w:tcW w:w="1340" w:type="dxa"/>
            <w:vAlign w:val="bottom"/>
            <w:shd w:val="clear" w:color="auto" w:fill="F1F2F2"/>
          </w:tcPr>
          <w:p>
            <w:pPr>
              <w:spacing w:after="0"/>
              <w:rPr>
                <w:sz w:val="6"/>
                <w:szCs w:val="6"/>
                <w:color w:val="auto"/>
              </w:rPr>
            </w:pPr>
          </w:p>
        </w:tc>
        <w:tc>
          <w:tcPr>
            <w:tcW w:w="124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Hala G. Moddelmog</w:t>
            </w:r>
          </w:p>
        </w:tc>
        <w:tc>
          <w:tcPr>
            <w:tcW w:w="2160" w:type="dxa"/>
            <w:vAlign w:val="bottom"/>
          </w:tcPr>
          <w:p>
            <w:pPr>
              <w:jc w:val="right"/>
              <w:ind w:right="368"/>
              <w:spacing w:after="0"/>
              <w:rPr>
                <w:sz w:val="20"/>
                <w:szCs w:val="20"/>
                <w:color w:val="auto"/>
              </w:rPr>
            </w:pPr>
            <w:r>
              <w:rPr>
                <w:rFonts w:ascii="Arial" w:cs="Arial" w:eastAsia="Arial" w:hAnsi="Arial"/>
                <w:sz w:val="14"/>
                <w:szCs w:val="14"/>
                <w:color w:val="auto"/>
              </w:rPr>
              <w:t>7,614</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7,614</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27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Jeffrey S. Sloan</w:t>
            </w:r>
          </w:p>
        </w:tc>
        <w:tc>
          <w:tcPr>
            <w:tcW w:w="216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12,474</w:t>
            </w:r>
          </w:p>
        </w:tc>
        <w:tc>
          <w:tcPr>
            <w:tcW w:w="150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12,474</w:t>
            </w:r>
          </w:p>
        </w:tc>
        <w:tc>
          <w:tcPr>
            <w:tcW w:w="124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00" w:type="dxa"/>
            <w:vAlign w:val="bottom"/>
            <w:shd w:val="clear" w:color="auto" w:fill="F1F2F2"/>
          </w:tcPr>
          <w:p>
            <w:pPr>
              <w:spacing w:after="0"/>
              <w:rPr>
                <w:sz w:val="6"/>
                <w:szCs w:val="6"/>
                <w:color w:val="auto"/>
              </w:rPr>
            </w:pPr>
          </w:p>
        </w:tc>
        <w:tc>
          <w:tcPr>
            <w:tcW w:w="2740" w:type="dxa"/>
            <w:vAlign w:val="bottom"/>
            <w:shd w:val="clear" w:color="auto" w:fill="F1F2F2"/>
          </w:tcPr>
          <w:p>
            <w:pPr>
              <w:spacing w:after="0"/>
              <w:rPr>
                <w:sz w:val="6"/>
                <w:szCs w:val="6"/>
                <w:color w:val="auto"/>
              </w:rPr>
            </w:pPr>
          </w:p>
        </w:tc>
        <w:tc>
          <w:tcPr>
            <w:tcW w:w="2160" w:type="dxa"/>
            <w:vAlign w:val="bottom"/>
            <w:shd w:val="clear" w:color="auto" w:fill="F1F2F2"/>
          </w:tcPr>
          <w:p>
            <w:pPr>
              <w:spacing w:after="0"/>
              <w:rPr>
                <w:sz w:val="6"/>
                <w:szCs w:val="6"/>
                <w:color w:val="auto"/>
              </w:rPr>
            </w:pPr>
          </w:p>
        </w:tc>
        <w:tc>
          <w:tcPr>
            <w:tcW w:w="1500" w:type="dxa"/>
            <w:vAlign w:val="bottom"/>
            <w:shd w:val="clear" w:color="auto" w:fill="F1F2F2"/>
          </w:tcPr>
          <w:p>
            <w:pPr>
              <w:spacing w:after="0"/>
              <w:rPr>
                <w:sz w:val="6"/>
                <w:szCs w:val="6"/>
                <w:color w:val="auto"/>
              </w:rPr>
            </w:pPr>
          </w:p>
        </w:tc>
        <w:tc>
          <w:tcPr>
            <w:tcW w:w="1340" w:type="dxa"/>
            <w:vAlign w:val="bottom"/>
            <w:shd w:val="clear" w:color="auto" w:fill="F1F2F2"/>
          </w:tcPr>
          <w:p>
            <w:pPr>
              <w:spacing w:after="0"/>
              <w:rPr>
                <w:sz w:val="6"/>
                <w:szCs w:val="6"/>
                <w:color w:val="auto"/>
              </w:rPr>
            </w:pPr>
          </w:p>
        </w:tc>
        <w:tc>
          <w:tcPr>
            <w:tcW w:w="124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22</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1440" w:right="1419" w:bottom="1440" w:gutter="0" w:footer="0" w:header="0"/>
        </w:sectPr>
      </w:pPr>
    </w:p>
    <w:bookmarkStart w:id="28" w:name="page29"/>
    <w:bookmarkEnd w:id="28"/>
    <w:p>
      <w:pPr>
        <w:ind w:left="60"/>
        <w:spacing w:after="0"/>
        <w:tabs>
          <w:tab w:leader="none" w:pos="14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04. INFORMATION REGARDING BENEFICIAL OWNERSHIP OF PRINCIPAL SHAREHOLDERS, DIRECTORS, AND MANAGEMENT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00" w:type="dxa"/>
            <w:vAlign w:val="bottom"/>
            <w:shd w:val="clear" w:color="auto" w:fill="C43776"/>
          </w:tcPr>
          <w:p>
            <w:pPr>
              <w:spacing w:after="0"/>
              <w:rPr>
                <w:sz w:val="24"/>
                <w:szCs w:val="24"/>
                <w:color w:val="auto"/>
              </w:rPr>
            </w:pPr>
          </w:p>
        </w:tc>
        <w:tc>
          <w:tcPr>
            <w:tcW w:w="318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Directors and NEOs:</w:t>
            </w:r>
          </w:p>
        </w:tc>
        <w:tc>
          <w:tcPr>
            <w:tcW w:w="1700" w:type="dxa"/>
            <w:vAlign w:val="bottom"/>
            <w:shd w:val="clear" w:color="auto" w:fill="C43776"/>
          </w:tcPr>
          <w:p>
            <w:pPr>
              <w:spacing w:after="0"/>
              <w:rPr>
                <w:sz w:val="24"/>
                <w:szCs w:val="24"/>
                <w:color w:val="auto"/>
              </w:rPr>
            </w:pPr>
          </w:p>
        </w:tc>
        <w:tc>
          <w:tcPr>
            <w:tcW w:w="1520" w:type="dxa"/>
            <w:vAlign w:val="bottom"/>
            <w:shd w:val="clear" w:color="auto" w:fill="C43776"/>
          </w:tcPr>
          <w:p>
            <w:pPr>
              <w:spacing w:after="0"/>
              <w:rPr>
                <w:sz w:val="24"/>
                <w:szCs w:val="24"/>
                <w:color w:val="auto"/>
              </w:rPr>
            </w:pPr>
          </w:p>
        </w:tc>
        <w:tc>
          <w:tcPr>
            <w:tcW w:w="1600" w:type="dxa"/>
            <w:vAlign w:val="bottom"/>
            <w:shd w:val="clear" w:color="auto" w:fill="C43776"/>
          </w:tcPr>
          <w:p>
            <w:pPr>
              <w:spacing w:after="0"/>
              <w:rPr>
                <w:sz w:val="24"/>
                <w:szCs w:val="24"/>
                <w:color w:val="auto"/>
              </w:rPr>
            </w:pPr>
          </w:p>
        </w:tc>
        <w:tc>
          <w:tcPr>
            <w:tcW w:w="980" w:type="dxa"/>
            <w:vAlign w:val="bottom"/>
            <w:shd w:val="clear" w:color="auto" w:fill="C43776"/>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00" w:type="dxa"/>
            <w:vAlign w:val="bottom"/>
            <w:shd w:val="clear" w:color="auto" w:fill="C43776"/>
          </w:tcPr>
          <w:p>
            <w:pPr>
              <w:spacing w:after="0"/>
              <w:rPr>
                <w:sz w:val="8"/>
                <w:szCs w:val="8"/>
                <w:color w:val="auto"/>
              </w:rPr>
            </w:pPr>
          </w:p>
        </w:tc>
        <w:tc>
          <w:tcPr>
            <w:tcW w:w="3180" w:type="dxa"/>
            <w:vAlign w:val="bottom"/>
            <w:shd w:val="clear" w:color="auto" w:fill="C43776"/>
          </w:tcPr>
          <w:p>
            <w:pPr>
              <w:spacing w:after="0"/>
              <w:rPr>
                <w:sz w:val="8"/>
                <w:szCs w:val="8"/>
                <w:color w:val="auto"/>
              </w:rPr>
            </w:pPr>
          </w:p>
        </w:tc>
        <w:tc>
          <w:tcPr>
            <w:tcW w:w="1700" w:type="dxa"/>
            <w:vAlign w:val="bottom"/>
            <w:shd w:val="clear" w:color="auto" w:fill="C43776"/>
          </w:tcPr>
          <w:p>
            <w:pPr>
              <w:spacing w:after="0"/>
              <w:rPr>
                <w:sz w:val="8"/>
                <w:szCs w:val="8"/>
                <w:color w:val="auto"/>
              </w:rPr>
            </w:pPr>
          </w:p>
        </w:tc>
        <w:tc>
          <w:tcPr>
            <w:tcW w:w="1520" w:type="dxa"/>
            <w:vAlign w:val="bottom"/>
            <w:shd w:val="clear" w:color="auto" w:fill="C43776"/>
          </w:tcPr>
          <w:p>
            <w:pPr>
              <w:spacing w:after="0"/>
              <w:rPr>
                <w:sz w:val="8"/>
                <w:szCs w:val="8"/>
                <w:color w:val="auto"/>
              </w:rPr>
            </w:pPr>
          </w:p>
        </w:tc>
        <w:tc>
          <w:tcPr>
            <w:tcW w:w="1600" w:type="dxa"/>
            <w:vAlign w:val="bottom"/>
            <w:shd w:val="clear" w:color="auto" w:fill="C43776"/>
          </w:tcPr>
          <w:p>
            <w:pPr>
              <w:spacing w:after="0"/>
              <w:rPr>
                <w:sz w:val="8"/>
                <w:szCs w:val="8"/>
                <w:color w:val="auto"/>
              </w:rPr>
            </w:pPr>
          </w:p>
        </w:tc>
        <w:tc>
          <w:tcPr>
            <w:tcW w:w="98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3180" w:type="dxa"/>
            <w:vAlign w:val="bottom"/>
          </w:tcPr>
          <w:p>
            <w:pPr>
              <w:ind w:left="40"/>
              <w:spacing w:after="0"/>
              <w:rPr>
                <w:sz w:val="20"/>
                <w:szCs w:val="20"/>
                <w:color w:val="auto"/>
              </w:rPr>
            </w:pPr>
            <w:r>
              <w:rPr>
                <w:rFonts w:ascii="Arial" w:cs="Arial" w:eastAsia="Arial" w:hAnsi="Arial"/>
                <w:sz w:val="14"/>
                <w:szCs w:val="14"/>
                <w:b w:val="1"/>
                <w:bCs w:val="1"/>
                <w:color w:val="auto"/>
              </w:rPr>
              <w:t>Steven T. Stull</w:t>
            </w:r>
            <w:r>
              <w:rPr>
                <w:rFonts w:ascii="Arial" w:cs="Arial" w:eastAsia="Arial" w:hAnsi="Arial"/>
                <w:sz w:val="18"/>
                <w:szCs w:val="18"/>
                <w:b w:val="1"/>
                <w:bCs w:val="1"/>
                <w:color w:val="auto"/>
                <w:vertAlign w:val="superscript"/>
              </w:rPr>
              <w:t>(14)</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35,488</w:t>
            </w: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16,277</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51,765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2"/>
        </w:trPr>
        <w:tc>
          <w:tcPr>
            <w:tcW w:w="100" w:type="dxa"/>
            <w:vAlign w:val="bottom"/>
            <w:shd w:val="clear" w:color="auto" w:fill="F1F2F2"/>
          </w:tcPr>
          <w:p>
            <w:pPr>
              <w:spacing w:after="0"/>
              <w:rPr>
                <w:sz w:val="24"/>
                <w:szCs w:val="24"/>
                <w:color w:val="auto"/>
              </w:rPr>
            </w:pPr>
          </w:p>
        </w:tc>
        <w:tc>
          <w:tcPr>
            <w:tcW w:w="318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Gerald Throop</w:t>
            </w:r>
          </w:p>
        </w:tc>
        <w:tc>
          <w:tcPr>
            <w:tcW w:w="1700" w:type="dxa"/>
            <w:vAlign w:val="bottom"/>
            <w:shd w:val="clear" w:color="auto" w:fill="F1F2F2"/>
          </w:tcPr>
          <w:p>
            <w:pPr>
              <w:jc w:val="right"/>
              <w:ind w:right="348"/>
              <w:spacing w:after="0"/>
              <w:rPr>
                <w:sz w:val="20"/>
                <w:szCs w:val="20"/>
                <w:color w:val="auto"/>
              </w:rPr>
            </w:pPr>
            <w:r>
              <w:rPr>
                <w:rFonts w:ascii="Arial" w:cs="Arial" w:eastAsia="Arial" w:hAnsi="Arial"/>
                <w:sz w:val="14"/>
                <w:szCs w:val="14"/>
                <w:color w:val="auto"/>
              </w:rPr>
              <w:t>1,549</w:t>
            </w:r>
          </w:p>
        </w:tc>
        <w:tc>
          <w:tcPr>
            <w:tcW w:w="152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1,549</w:t>
            </w:r>
          </w:p>
        </w:tc>
        <w:tc>
          <w:tcPr>
            <w:tcW w:w="98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100" w:type="dxa"/>
            <w:vAlign w:val="bottom"/>
            <w:shd w:val="clear" w:color="auto" w:fill="F1F2F2"/>
          </w:tcPr>
          <w:p>
            <w:pPr>
              <w:spacing w:after="0"/>
              <w:rPr>
                <w:sz w:val="6"/>
                <w:szCs w:val="6"/>
                <w:color w:val="auto"/>
              </w:rPr>
            </w:pPr>
          </w:p>
        </w:tc>
        <w:tc>
          <w:tcPr>
            <w:tcW w:w="3180" w:type="dxa"/>
            <w:vAlign w:val="bottom"/>
            <w:shd w:val="clear" w:color="auto" w:fill="F1F2F2"/>
          </w:tcPr>
          <w:p>
            <w:pPr>
              <w:spacing w:after="0"/>
              <w:rPr>
                <w:sz w:val="6"/>
                <w:szCs w:val="6"/>
                <w:color w:val="auto"/>
              </w:rPr>
            </w:pPr>
          </w:p>
        </w:tc>
        <w:tc>
          <w:tcPr>
            <w:tcW w:w="1700" w:type="dxa"/>
            <w:vAlign w:val="bottom"/>
            <w:shd w:val="clear" w:color="auto" w:fill="F1F2F2"/>
          </w:tcPr>
          <w:p>
            <w:pPr>
              <w:spacing w:after="0"/>
              <w:rPr>
                <w:sz w:val="6"/>
                <w:szCs w:val="6"/>
                <w:color w:val="auto"/>
              </w:rPr>
            </w:pPr>
          </w:p>
        </w:tc>
        <w:tc>
          <w:tcPr>
            <w:tcW w:w="1520" w:type="dxa"/>
            <w:vAlign w:val="bottom"/>
            <w:shd w:val="clear" w:color="auto" w:fill="F1F2F2"/>
          </w:tcPr>
          <w:p>
            <w:pPr>
              <w:spacing w:after="0"/>
              <w:rPr>
                <w:sz w:val="6"/>
                <w:szCs w:val="6"/>
                <w:color w:val="auto"/>
              </w:rPr>
            </w:pPr>
          </w:p>
        </w:tc>
        <w:tc>
          <w:tcPr>
            <w:tcW w:w="1600" w:type="dxa"/>
            <w:vAlign w:val="bottom"/>
            <w:shd w:val="clear" w:color="auto" w:fill="F1F2F2"/>
          </w:tcPr>
          <w:p>
            <w:pPr>
              <w:spacing w:after="0"/>
              <w:rPr>
                <w:sz w:val="6"/>
                <w:szCs w:val="6"/>
                <w:color w:val="auto"/>
              </w:rPr>
            </w:pPr>
          </w:p>
        </w:tc>
        <w:tc>
          <w:tcPr>
            <w:tcW w:w="98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3180" w:type="dxa"/>
            <w:vAlign w:val="bottom"/>
          </w:tcPr>
          <w:p>
            <w:pPr>
              <w:ind w:left="40"/>
              <w:spacing w:after="0"/>
              <w:rPr>
                <w:sz w:val="20"/>
                <w:szCs w:val="20"/>
                <w:color w:val="auto"/>
              </w:rPr>
            </w:pPr>
            <w:r>
              <w:rPr>
                <w:rFonts w:ascii="Arial" w:cs="Arial" w:eastAsia="Arial" w:hAnsi="Arial"/>
                <w:sz w:val="14"/>
                <w:szCs w:val="14"/>
                <w:b w:val="1"/>
                <w:bCs w:val="1"/>
                <w:color w:val="auto"/>
              </w:rPr>
              <w:t>Directors and executive officers as a</w:t>
            </w:r>
          </w:p>
        </w:tc>
        <w:tc>
          <w:tcPr>
            <w:tcW w:w="17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2,497,033</w:t>
            </w:r>
          </w:p>
        </w:tc>
        <w:tc>
          <w:tcPr>
            <w:tcW w:w="15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1,093,078</w:t>
            </w:r>
          </w:p>
        </w:tc>
        <w:tc>
          <w:tcPr>
            <w:tcW w:w="16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3,590,111</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5.19</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group (16 Persons)</w:t>
            </w:r>
          </w:p>
        </w:tc>
        <w:tc>
          <w:tcPr>
            <w:tcW w:w="17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100" w:type="dxa"/>
            <w:vAlign w:val="bottom"/>
            <w:tcBorders>
              <w:bottom w:val="single" w:sz="8" w:color="C43776"/>
            </w:tcBorders>
            <w:shd w:val="clear" w:color="auto" w:fill="F1F2F2"/>
          </w:tcPr>
          <w:p>
            <w:pPr>
              <w:spacing w:after="0"/>
              <w:rPr>
                <w:sz w:val="24"/>
                <w:szCs w:val="24"/>
                <w:color w:val="auto"/>
              </w:rPr>
            </w:pPr>
          </w:p>
        </w:tc>
        <w:tc>
          <w:tcPr>
            <w:tcW w:w="3180" w:type="dxa"/>
            <w:vAlign w:val="bottom"/>
            <w:tcBorders>
              <w:bottom w:val="single" w:sz="8" w:color="C43776"/>
            </w:tcBorders>
            <w:shd w:val="clear" w:color="auto" w:fill="F1F2F2"/>
          </w:tcPr>
          <w:p>
            <w:pPr>
              <w:ind w:left="40"/>
              <w:spacing w:after="0"/>
              <w:rPr>
                <w:sz w:val="20"/>
                <w:szCs w:val="20"/>
                <w:color w:val="auto"/>
              </w:rPr>
            </w:pPr>
            <w:r>
              <w:rPr>
                <w:rFonts w:ascii="Arial" w:cs="Arial" w:eastAsia="Arial" w:hAnsi="Arial"/>
                <w:sz w:val="14"/>
                <w:szCs w:val="14"/>
                <w:b w:val="1"/>
                <w:bCs w:val="1"/>
                <w:color w:val="auto"/>
              </w:rPr>
              <w:t>Tom Panther</w:t>
            </w:r>
            <w:r>
              <w:rPr>
                <w:rFonts w:ascii="Arial" w:cs="Arial" w:eastAsia="Arial" w:hAnsi="Arial"/>
                <w:sz w:val="18"/>
                <w:szCs w:val="18"/>
                <w:b w:val="1"/>
                <w:bCs w:val="1"/>
                <w:color w:val="auto"/>
                <w:vertAlign w:val="superscript"/>
              </w:rPr>
              <w:t>(15)</w:t>
            </w:r>
          </w:p>
        </w:tc>
        <w:tc>
          <w:tcPr>
            <w:tcW w:w="1700" w:type="dxa"/>
            <w:vAlign w:val="bottom"/>
            <w:tcBorders>
              <w:bottom w:val="single" w:sz="8" w:color="C43776"/>
            </w:tcBorders>
            <w:shd w:val="clear" w:color="auto" w:fill="F1F2F2"/>
          </w:tcPr>
          <w:p>
            <w:pPr>
              <w:jc w:val="right"/>
              <w:ind w:right="348"/>
              <w:spacing w:after="0"/>
              <w:rPr>
                <w:sz w:val="20"/>
                <w:szCs w:val="20"/>
                <w:color w:val="auto"/>
              </w:rPr>
            </w:pPr>
            <w:r>
              <w:rPr>
                <w:rFonts w:ascii="Arial" w:cs="Arial" w:eastAsia="Arial" w:hAnsi="Arial"/>
                <w:sz w:val="14"/>
                <w:szCs w:val="14"/>
                <w:color w:val="auto"/>
              </w:rPr>
              <w:t>8,946</w:t>
            </w:r>
          </w:p>
        </w:tc>
        <w:tc>
          <w:tcPr>
            <w:tcW w:w="1520" w:type="dxa"/>
            <w:vAlign w:val="bottom"/>
            <w:tcBorders>
              <w:bottom w:val="single" w:sz="8" w:color="C43776"/>
            </w:tcBorders>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43776"/>
            </w:tcBorders>
            <w:shd w:val="clear" w:color="auto" w:fill="F1F2F2"/>
          </w:tcPr>
          <w:p>
            <w:pPr>
              <w:jc w:val="right"/>
              <w:ind w:right="448"/>
              <w:spacing w:after="0"/>
              <w:rPr>
                <w:sz w:val="20"/>
                <w:szCs w:val="20"/>
                <w:color w:val="auto"/>
              </w:rPr>
            </w:pPr>
            <w:r>
              <w:rPr>
                <w:rFonts w:ascii="Arial" w:cs="Arial" w:eastAsia="Arial" w:hAnsi="Arial"/>
                <w:sz w:val="14"/>
                <w:szCs w:val="14"/>
                <w:color w:val="auto"/>
              </w:rPr>
              <w:t>8,946</w:t>
            </w:r>
          </w:p>
        </w:tc>
        <w:tc>
          <w:tcPr>
            <w:tcW w:w="980" w:type="dxa"/>
            <w:vAlign w:val="bottom"/>
            <w:tcBorders>
              <w:bottom w:val="single" w:sz="8" w:color="C43776"/>
            </w:tcBorders>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40" w:hanging="90"/>
        <w:spacing w:after="0"/>
        <w:tabs>
          <w:tab w:leader="none" w:pos="240" w:val="left"/>
        </w:tabs>
        <w:numPr>
          <w:ilvl w:val="1"/>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Less than 1% of common shares outstanding</w:t>
      </w:r>
    </w:p>
    <w:p>
      <w:pPr>
        <w:spacing w:after="0" w:line="93" w:lineRule="exact"/>
        <w:rPr>
          <w:rFonts w:ascii="Arial" w:cs="Arial" w:eastAsia="Arial" w:hAnsi="Arial"/>
          <w:sz w:val="13"/>
          <w:szCs w:val="13"/>
          <w:i w:val="1"/>
          <w:iCs w:val="1"/>
          <w:color w:val="auto"/>
        </w:rPr>
      </w:pPr>
    </w:p>
    <w:p>
      <w:pPr>
        <w:ind w:left="340" w:hanging="332"/>
        <w:spacing w:after="0"/>
        <w:tabs>
          <w:tab w:leader="none" w:pos="340" w:val="left"/>
        </w:tabs>
        <w:numPr>
          <w:ilvl w:val="0"/>
          <w:numId w:val="23"/>
        </w:numPr>
        <w:rPr>
          <w:rFonts w:ascii="Arial" w:cs="Arial" w:eastAsia="Arial" w:hAnsi="Arial"/>
          <w:sz w:val="13"/>
          <w:szCs w:val="13"/>
          <w:i w:val="1"/>
          <w:iCs w:val="1"/>
          <w:color w:val="58595B"/>
        </w:rPr>
      </w:pPr>
      <w:r>
        <w:rPr>
          <w:rFonts w:ascii="Arial" w:cs="Arial" w:eastAsia="Arial" w:hAnsi="Arial"/>
          <w:sz w:val="13"/>
          <w:szCs w:val="13"/>
          <w:i w:val="1"/>
          <w:iCs w:val="1"/>
          <w:color w:val="auto"/>
        </w:rPr>
        <w:t>The business address for each individual listed is 3280 Peachtree Road, Suite 2400, Atlanta, GA 30305.</w:t>
      </w:r>
    </w:p>
    <w:p>
      <w:pPr>
        <w:spacing w:after="0" w:line="53" w:lineRule="exact"/>
        <w:rPr>
          <w:rFonts w:ascii="Arial" w:cs="Arial" w:eastAsia="Arial" w:hAnsi="Arial"/>
          <w:sz w:val="13"/>
          <w:szCs w:val="13"/>
          <w:i w:val="1"/>
          <w:iCs w:val="1"/>
          <w:color w:val="58595B"/>
        </w:rPr>
      </w:pPr>
    </w:p>
    <w:p>
      <w:pPr>
        <w:ind w:left="340" w:right="20" w:hanging="332"/>
        <w:spacing w:after="0" w:line="261" w:lineRule="auto"/>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Unless otherwise noted, includes shares for which the named person has sole voting and investment power or has shared voting and investment power. This column excludes shares that may be acquired through stock option exercises.</w:t>
      </w:r>
    </w:p>
    <w:p>
      <w:pPr>
        <w:spacing w:after="0" w:line="25" w:lineRule="exact"/>
        <w:rPr>
          <w:rFonts w:ascii="Arial" w:cs="Arial" w:eastAsia="Arial" w:hAnsi="Arial"/>
          <w:sz w:val="13"/>
          <w:szCs w:val="13"/>
          <w:i w:val="1"/>
          <w:iCs w:val="1"/>
          <w:color w:val="auto"/>
        </w:rPr>
      </w:pPr>
    </w:p>
    <w:p>
      <w:pPr>
        <w:ind w:left="340" w:hanging="332"/>
        <w:spacing w:after="0"/>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This column includes shares vesting or that can be acquired through stock option exercises through April 18, 2026.</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This column includes common shares, restricted shares, and shares vesting or that can be acquired through stock option exercises through April 18, 2026.</w:t>
      </w:r>
    </w:p>
    <w:p>
      <w:pPr>
        <w:spacing w:after="0" w:line="78" w:lineRule="exact"/>
        <w:rPr>
          <w:rFonts w:ascii="Arial" w:cs="Arial" w:eastAsia="Arial" w:hAnsi="Arial"/>
          <w:sz w:val="12"/>
          <w:szCs w:val="12"/>
          <w:i w:val="1"/>
          <w:iCs w:val="1"/>
          <w:color w:val="auto"/>
        </w:rPr>
      </w:pPr>
    </w:p>
    <w:p>
      <w:pPr>
        <w:ind w:left="340" w:right="220" w:hanging="332"/>
        <w:spacing w:after="0" w:line="261" w:lineRule="auto"/>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This information was reported on a Schedule 13G filed by Orbis Investment Management Limited with the SEC on February 17, 2026, of which they have sole dispositive rights for 4,987,968 shares.</w:t>
      </w:r>
    </w:p>
    <w:p>
      <w:pPr>
        <w:spacing w:after="0" w:line="25" w:lineRule="exact"/>
        <w:rPr>
          <w:rFonts w:ascii="Arial" w:cs="Arial" w:eastAsia="Arial" w:hAnsi="Arial"/>
          <w:sz w:val="13"/>
          <w:szCs w:val="13"/>
          <w:i w:val="1"/>
          <w:iCs w:val="1"/>
          <w:color w:val="auto"/>
        </w:rPr>
      </w:pPr>
    </w:p>
    <w:p>
      <w:pPr>
        <w:ind w:left="340" w:right="160" w:hanging="332"/>
        <w:spacing w:after="0" w:line="261" w:lineRule="auto"/>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This information was reported on a Schedule 13G filed by Blackrock, Inc. with the SEC on November 8, 2024, of which they have sole dispositive rights for 4,972,482 shares.</w:t>
      </w:r>
    </w:p>
    <w:p>
      <w:pPr>
        <w:spacing w:after="0" w:line="25" w:lineRule="exact"/>
        <w:rPr>
          <w:rFonts w:ascii="Arial" w:cs="Arial" w:eastAsia="Arial" w:hAnsi="Arial"/>
          <w:sz w:val="13"/>
          <w:szCs w:val="13"/>
          <w:i w:val="1"/>
          <w:iCs w:val="1"/>
          <w:color w:val="auto"/>
        </w:rPr>
      </w:pPr>
    </w:p>
    <w:p>
      <w:pPr>
        <w:ind w:left="340" w:right="140" w:hanging="332"/>
        <w:spacing w:after="0" w:line="281" w:lineRule="auto"/>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This information was reported on a Schedule 13G filed by JP Morgan Chase &amp; Co. with the SEC on February 11, 2025, of which they have sole dispositive rights for 4,246,851 shares and shared dispositive rights for 6,437 shares.</w:t>
      </w:r>
    </w:p>
    <w:p>
      <w:pPr>
        <w:ind w:left="340" w:hanging="332"/>
        <w:spacing w:after="0"/>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Includes 2,344,870 common shares and vested options to purchase 850,000 shares.</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Does not include 3,990 restricted units subject to vesting requirements, as to which the individual does not have voting rights or dispositive power.</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Does not include 1,106 restricted units subject to vesting requirements, as to which the individual does not have voting rights or dispositive power.</w:t>
      </w:r>
    </w:p>
    <w:p>
      <w:pPr>
        <w:spacing w:after="0" w:line="53" w:lineRule="exact"/>
        <w:rPr>
          <w:rFonts w:ascii="Arial" w:cs="Arial" w:eastAsia="Arial" w:hAnsi="Arial"/>
          <w:sz w:val="13"/>
          <w:szCs w:val="13"/>
          <w:i w:val="1"/>
          <w:iCs w:val="1"/>
          <w:color w:val="auto"/>
        </w:rPr>
      </w:pPr>
    </w:p>
    <w:p>
      <w:pPr>
        <w:ind w:left="340" w:right="420" w:hanging="332"/>
        <w:spacing w:after="0" w:line="261" w:lineRule="auto"/>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Includes 28,137 common shares, vested options to purchase 95,916 shares, and 1,708 restricted units vesting within 60 days. Does not include 4,003 restricted units subject to vesting requirements, as to which the individual does not have voting rights or dispositive power.</w:t>
      </w:r>
    </w:p>
    <w:p>
      <w:pPr>
        <w:spacing w:after="0" w:line="39" w:lineRule="exact"/>
        <w:rPr>
          <w:rFonts w:ascii="Arial" w:cs="Arial" w:eastAsia="Arial" w:hAnsi="Arial"/>
          <w:sz w:val="13"/>
          <w:szCs w:val="13"/>
          <w:i w:val="1"/>
          <w:iCs w:val="1"/>
          <w:color w:val="auto"/>
        </w:rPr>
      </w:pPr>
    </w:p>
    <w:p>
      <w:pPr>
        <w:ind w:left="340" w:hanging="332"/>
        <w:spacing w:after="0"/>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Does not include 1,698 restricted units subject to vesting requirements, as to which the individual does not have voting rights or dispositive power.</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Includes 9,222 common shares and vested options to purchase 6,828 shares.</w:t>
      </w:r>
    </w:p>
    <w:p>
      <w:pPr>
        <w:spacing w:after="0" w:line="53" w:lineRule="exact"/>
        <w:rPr>
          <w:rFonts w:ascii="Arial" w:cs="Arial" w:eastAsia="Arial" w:hAnsi="Arial"/>
          <w:sz w:val="13"/>
          <w:szCs w:val="13"/>
          <w:i w:val="1"/>
          <w:iCs w:val="1"/>
          <w:color w:val="auto"/>
        </w:rPr>
      </w:pPr>
    </w:p>
    <w:p>
      <w:pPr>
        <w:ind w:left="340" w:right="80" w:hanging="332"/>
        <w:spacing w:after="0" w:line="253" w:lineRule="auto"/>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6,247 common shares held by Advantage Capital Financial Company, LLC (“Advantage Capital”) and related entities, 29,241 common shares held by Mr. Stull and vested options to purchase 16,277 shares. Mr. Stull has shared voting power with respect to the shares held by Advantage Capital and as a result may be deemed to beneficially own such shares. Mr. Stull disclaims ownership of the shares held by the Advantage Capital entities except to the extent of his pecuniary interest in them. Advantage Capital is a private equity firm.</w:t>
      </w:r>
    </w:p>
    <w:p>
      <w:pPr>
        <w:spacing w:after="0" w:line="31" w:lineRule="exact"/>
        <w:rPr>
          <w:rFonts w:ascii="Arial" w:cs="Arial" w:eastAsia="Arial" w:hAnsi="Arial"/>
          <w:sz w:val="13"/>
          <w:szCs w:val="13"/>
          <w:i w:val="1"/>
          <w:iCs w:val="1"/>
          <w:color w:val="auto"/>
        </w:rPr>
      </w:pPr>
    </w:p>
    <w:p>
      <w:pPr>
        <w:ind w:left="340" w:right="60" w:hanging="332"/>
        <w:spacing w:after="0" w:line="250" w:lineRule="auto"/>
        <w:tabs>
          <w:tab w:leader="none" w:pos="34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Because Mr. Panther resigned from the Company effective March 15, 2025, he is no longer required to report to the Company ownership of Company equity that he owns. Accordingly, the amount in the table reflects Mr. Panther’s ownership of Company equity based on information reasonably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23</w:t>
      </w:r>
    </w:p>
    <w:p>
      <w:pPr>
        <w:sectPr>
          <w:pgSz w:w="11900" w:h="16838" w:orient="portrait"/>
          <w:cols w:equalWidth="0" w:num="1">
            <w:col w:w="9080"/>
          </w:cols>
          <w:pgMar w:left="1400" w:top="810" w:right="1419" w:bottom="1440" w:gutter="0" w:footer="0" w:header="0"/>
        </w:sectPr>
      </w:pPr>
    </w:p>
    <w:bookmarkStart w:id="29" w:name="page30"/>
    <w:bookmarkEnd w:id="2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05. Compensation Discussion and Analysis</w:t>
      </w:r>
    </w:p>
    <w:p>
      <w:pPr>
        <w:spacing w:after="0" w:line="200" w:lineRule="exact"/>
        <w:rPr>
          <w:sz w:val="20"/>
          <w:szCs w:val="20"/>
          <w:color w:val="auto"/>
        </w:rPr>
      </w:pPr>
    </w:p>
    <w:p>
      <w:pPr>
        <w:spacing w:after="0" w:line="22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compensation policies and programs, the material compensation decisions we have made under those policies and programs, and the material factors that we have considered in making those decisions are described in this section. Following this section is a series of tables containing specific information about the compensation earned, awarded or paid in 2025 by or to the individuals we refer to as our NEOs for purposes of this Proxy Statement, who are our Chief Executive Officer (CEO), each individual who served as our Chief Financial Officer during 2025, and certain other highly paid executive officers, in accordance with SEC rules. The discussion below is intended to explain the detailed information provided in the executive compensation tables and to put that information into context within our overall compensation program.</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auto"/>
        </w:rPr>
        <w:t>Our NEOs for 2025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98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610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Position</w:t>
            </w:r>
          </w:p>
        </w:tc>
      </w:tr>
      <w:tr>
        <w:trPr>
          <w:trHeight w:val="94"/>
        </w:trPr>
        <w:tc>
          <w:tcPr>
            <w:tcW w:w="2980" w:type="dxa"/>
            <w:vAlign w:val="bottom"/>
            <w:shd w:val="clear" w:color="auto" w:fill="C43776"/>
          </w:tcPr>
          <w:p>
            <w:pPr>
              <w:spacing w:after="0"/>
              <w:rPr>
                <w:sz w:val="8"/>
                <w:szCs w:val="8"/>
                <w:color w:val="auto"/>
              </w:rPr>
            </w:pPr>
          </w:p>
        </w:tc>
        <w:tc>
          <w:tcPr>
            <w:tcW w:w="6100" w:type="dxa"/>
            <w:vAlign w:val="bottom"/>
            <w:shd w:val="clear" w:color="auto" w:fill="C43776"/>
          </w:tcPr>
          <w:p>
            <w:pPr>
              <w:spacing w:after="0"/>
              <w:rPr>
                <w:sz w:val="8"/>
                <w:szCs w:val="8"/>
                <w:color w:val="auto"/>
              </w:rPr>
            </w:pPr>
          </w:p>
        </w:tc>
      </w:tr>
      <w:tr>
        <w:trPr>
          <w:trHeight w:val="281"/>
        </w:trPr>
        <w:tc>
          <w:tcPr>
            <w:tcW w:w="298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6100" w:type="dxa"/>
            <w:vAlign w:val="bottom"/>
          </w:tcPr>
          <w:p>
            <w:pPr>
              <w:ind w:left="40"/>
              <w:spacing w:after="0"/>
              <w:rPr>
                <w:sz w:val="20"/>
                <w:szCs w:val="20"/>
                <w:color w:val="auto"/>
              </w:rPr>
            </w:pPr>
            <w:r>
              <w:rPr>
                <w:rFonts w:ascii="Arial" w:cs="Arial" w:eastAsia="Arial" w:hAnsi="Arial"/>
                <w:sz w:val="14"/>
                <w:szCs w:val="14"/>
                <w:color w:val="auto"/>
              </w:rPr>
              <w:t>Chief Executive Officer and Chair of the Board of Directors</w:t>
            </w:r>
          </w:p>
        </w:tc>
      </w:tr>
      <w:tr>
        <w:trPr>
          <w:trHeight w:val="29"/>
        </w:trPr>
        <w:tc>
          <w:tcPr>
            <w:tcW w:w="2980" w:type="dxa"/>
            <w:vAlign w:val="bottom"/>
          </w:tcPr>
          <w:p>
            <w:pPr>
              <w:spacing w:after="0"/>
              <w:rPr>
                <w:sz w:val="2"/>
                <w:szCs w:val="2"/>
                <w:color w:val="auto"/>
              </w:rPr>
            </w:pPr>
          </w:p>
        </w:tc>
        <w:tc>
          <w:tcPr>
            <w:tcW w:w="6100" w:type="dxa"/>
            <w:vAlign w:val="bottom"/>
          </w:tcPr>
          <w:p>
            <w:pPr>
              <w:spacing w:after="0"/>
              <w:rPr>
                <w:sz w:val="2"/>
                <w:szCs w:val="2"/>
                <w:color w:val="auto"/>
              </w:rPr>
            </w:pPr>
          </w:p>
        </w:tc>
      </w:tr>
      <w:tr>
        <w:trPr>
          <w:trHeight w:val="290"/>
        </w:trPr>
        <w:tc>
          <w:tcPr>
            <w:tcW w:w="298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610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4"/>
                <w:szCs w:val="14"/>
                <w:color w:val="auto"/>
              </w:rPr>
              <w:t>Chief Financial Officer</w:t>
            </w:r>
          </w:p>
        </w:tc>
      </w:tr>
      <w:tr>
        <w:trPr>
          <w:trHeight w:val="282"/>
        </w:trPr>
        <w:tc>
          <w:tcPr>
            <w:tcW w:w="2980" w:type="dxa"/>
            <w:vAlign w:val="bottom"/>
          </w:tcPr>
          <w:p>
            <w:pPr>
              <w:ind w:left="140"/>
              <w:spacing w:after="0"/>
              <w:rPr>
                <w:sz w:val="20"/>
                <w:szCs w:val="20"/>
                <w:color w:val="auto"/>
              </w:rPr>
            </w:pPr>
            <w:r>
              <w:rPr>
                <w:rFonts w:ascii="Arial" w:cs="Arial" w:eastAsia="Arial" w:hAnsi="Arial"/>
                <w:sz w:val="14"/>
                <w:szCs w:val="14"/>
                <w:b w:val="1"/>
                <w:bCs w:val="1"/>
                <w:color w:val="auto"/>
              </w:rPr>
              <w:t>Tom Panther</w:t>
            </w:r>
          </w:p>
        </w:tc>
        <w:tc>
          <w:tcPr>
            <w:tcW w:w="6100" w:type="dxa"/>
            <w:vAlign w:val="bottom"/>
          </w:tcPr>
          <w:p>
            <w:pPr>
              <w:ind w:left="40"/>
              <w:spacing w:after="0"/>
              <w:rPr>
                <w:sz w:val="20"/>
                <w:szCs w:val="20"/>
                <w:color w:val="auto"/>
              </w:rPr>
            </w:pPr>
            <w:r>
              <w:rPr>
                <w:rFonts w:ascii="Arial" w:cs="Arial" w:eastAsia="Arial" w:hAnsi="Arial"/>
                <w:sz w:val="14"/>
                <w:szCs w:val="14"/>
                <w:color w:val="auto"/>
              </w:rPr>
              <w:t>Former Chief Financial Officer</w:t>
            </w:r>
          </w:p>
        </w:tc>
      </w:tr>
      <w:tr>
        <w:trPr>
          <w:trHeight w:val="29"/>
        </w:trPr>
        <w:tc>
          <w:tcPr>
            <w:tcW w:w="2980" w:type="dxa"/>
            <w:vAlign w:val="bottom"/>
          </w:tcPr>
          <w:p>
            <w:pPr>
              <w:spacing w:after="0"/>
              <w:rPr>
                <w:sz w:val="2"/>
                <w:szCs w:val="2"/>
                <w:color w:val="auto"/>
              </w:rPr>
            </w:pPr>
          </w:p>
        </w:tc>
        <w:tc>
          <w:tcPr>
            <w:tcW w:w="6100" w:type="dxa"/>
            <w:vAlign w:val="bottom"/>
          </w:tcPr>
          <w:p>
            <w:pPr>
              <w:spacing w:after="0"/>
              <w:rPr>
                <w:sz w:val="2"/>
                <w:szCs w:val="2"/>
                <w:color w:val="auto"/>
              </w:rPr>
            </w:pPr>
          </w:p>
        </w:tc>
      </w:tr>
      <w:tr>
        <w:trPr>
          <w:trHeight w:val="290"/>
        </w:trPr>
        <w:tc>
          <w:tcPr>
            <w:tcW w:w="298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Alissa B. Vickery</w:t>
            </w:r>
          </w:p>
        </w:tc>
        <w:tc>
          <w:tcPr>
            <w:tcW w:w="610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4"/>
                <w:szCs w:val="14"/>
                <w:color w:val="auto"/>
              </w:rPr>
              <w:t>Chief Accounting Officer and Former Interim Chief Financial Officer</w:t>
            </w:r>
          </w:p>
        </w:tc>
      </w:tr>
      <w:tr>
        <w:trPr>
          <w:trHeight w:val="282"/>
        </w:trPr>
        <w:tc>
          <w:tcPr>
            <w:tcW w:w="2980" w:type="dxa"/>
            <w:vAlign w:val="bottom"/>
          </w:tcPr>
          <w:p>
            <w:pPr>
              <w:ind w:left="140"/>
              <w:spacing w:after="0"/>
              <w:rPr>
                <w:sz w:val="20"/>
                <w:szCs w:val="20"/>
                <w:color w:val="auto"/>
              </w:rPr>
            </w:pPr>
            <w:r>
              <w:rPr>
                <w:rFonts w:ascii="Arial" w:cs="Arial" w:eastAsia="Arial" w:hAnsi="Arial"/>
                <w:sz w:val="14"/>
                <w:szCs w:val="14"/>
                <w:b w:val="1"/>
                <w:bCs w:val="1"/>
                <w:color w:val="auto"/>
              </w:rPr>
              <w:t>Armando L. Netto</w:t>
            </w:r>
          </w:p>
        </w:tc>
        <w:tc>
          <w:tcPr>
            <w:tcW w:w="6100" w:type="dxa"/>
            <w:vAlign w:val="bottom"/>
          </w:tcPr>
          <w:p>
            <w:pPr>
              <w:ind w:left="40"/>
              <w:spacing w:after="0"/>
              <w:rPr>
                <w:sz w:val="20"/>
                <w:szCs w:val="20"/>
                <w:color w:val="auto"/>
              </w:rPr>
            </w:pPr>
            <w:r>
              <w:rPr>
                <w:rFonts w:ascii="Arial" w:cs="Arial" w:eastAsia="Arial" w:hAnsi="Arial"/>
                <w:sz w:val="14"/>
                <w:szCs w:val="14"/>
                <w:color w:val="auto"/>
              </w:rPr>
              <w:t>Group President, Brazil Vehicle Payments and Strategic Transformation</w:t>
            </w:r>
          </w:p>
        </w:tc>
      </w:tr>
      <w:tr>
        <w:trPr>
          <w:trHeight w:val="29"/>
        </w:trPr>
        <w:tc>
          <w:tcPr>
            <w:tcW w:w="2980" w:type="dxa"/>
            <w:vAlign w:val="bottom"/>
          </w:tcPr>
          <w:p>
            <w:pPr>
              <w:spacing w:after="0"/>
              <w:rPr>
                <w:sz w:val="2"/>
                <w:szCs w:val="2"/>
                <w:color w:val="auto"/>
              </w:rPr>
            </w:pPr>
          </w:p>
        </w:tc>
        <w:tc>
          <w:tcPr>
            <w:tcW w:w="6100" w:type="dxa"/>
            <w:vAlign w:val="bottom"/>
          </w:tcPr>
          <w:p>
            <w:pPr>
              <w:spacing w:after="0"/>
              <w:rPr>
                <w:sz w:val="2"/>
                <w:szCs w:val="2"/>
                <w:color w:val="auto"/>
              </w:rPr>
            </w:pPr>
          </w:p>
        </w:tc>
      </w:tr>
      <w:tr>
        <w:trPr>
          <w:trHeight w:val="290"/>
        </w:trPr>
        <w:tc>
          <w:tcPr>
            <w:tcW w:w="298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Alan King</w:t>
            </w:r>
          </w:p>
        </w:tc>
        <w:tc>
          <w:tcPr>
            <w:tcW w:w="610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4"/>
                <w:szCs w:val="14"/>
                <w:color w:val="auto"/>
              </w:rPr>
              <w:t>Group President, International Vehicle Payments</w:t>
            </w:r>
          </w:p>
        </w:tc>
      </w:tr>
      <w:tr>
        <w:trPr>
          <w:trHeight w:val="20"/>
        </w:trPr>
        <w:tc>
          <w:tcPr>
            <w:tcW w:w="2980" w:type="dxa"/>
            <w:vAlign w:val="bottom"/>
            <w:shd w:val="clear" w:color="auto" w:fill="C43776"/>
          </w:tcPr>
          <w:p>
            <w:pPr>
              <w:spacing w:after="0" w:line="20" w:lineRule="exact"/>
              <w:rPr>
                <w:sz w:val="1"/>
                <w:szCs w:val="1"/>
                <w:color w:val="auto"/>
              </w:rPr>
            </w:pPr>
          </w:p>
        </w:tc>
        <w:tc>
          <w:tcPr>
            <w:tcW w:w="6100" w:type="dxa"/>
            <w:vAlign w:val="bottom"/>
            <w:shd w:val="clear" w:color="auto" w:fill="C43776"/>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32"/>
          <w:szCs w:val="32"/>
          <w:color w:val="C43776"/>
        </w:rPr>
        <w:t>Leadership Transitions in 2025</w:t>
      </w:r>
    </w:p>
    <w:p>
      <w:pPr>
        <w:spacing w:after="0" w:line="15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Mr. Panther resigned as Chief Financial Officer effective March 15, 2025. In connection with Mr. Panther’s departure, Ms. Vickery, our Chief Accounting Officer, was appointed to serve as our interim Chief Financial Officer effective immediately upon Mr. Panther’s departure. Ms. Vickery previously served as our interim Chief Financial Officer from October 3, 2022 through May 2, 2023. We determined Ms. Vickery’s compensation for 2025 with the expectation that we would hire a permanent Chief Financial Officer. Therefore, certain elements of her 2025 compensation differ in design and magnitude from the compensation of our other NEOs.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 June 10, 2025, we announced the appointment of Peter Walker as our Chief Financial Officer, and he commenced service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 such role effective July 15, 2025. Upon Mr. Walker’s appointment to the role, Ms. Vickery ceased serving as our interim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but continued to serve as our Chief Accounting Officer. In connection with his appointment,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determined that Mr. Walker’s compensation package would include an annual base salary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$600,000. In addition, Mr. Walker received certain equity compensation awards upon his hire, which awards are described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37" w:lineRule="exact"/>
        <w:rPr>
          <w:sz w:val="20"/>
          <w:szCs w:val="20"/>
          <w:color w:val="auto"/>
        </w:rPr>
      </w:pPr>
    </w:p>
    <w:p>
      <w:pPr>
        <w:spacing w:after="0"/>
        <w:rPr>
          <w:sz w:val="20"/>
          <w:szCs w:val="20"/>
          <w:color w:val="auto"/>
        </w:rPr>
      </w:pPr>
      <w:r>
        <w:rPr>
          <w:rFonts w:ascii="Arial" w:cs="Arial" w:eastAsia="Arial" w:hAnsi="Arial"/>
          <w:sz w:val="32"/>
          <w:szCs w:val="32"/>
          <w:color w:val="C43776"/>
        </w:rPr>
        <w:t>2025 Performance</w:t>
      </w:r>
    </w:p>
    <w:p>
      <w:pPr>
        <w:spacing w:after="0" w:line="14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Corpay is a leading global payments company that helps businesses spend less by enabling them to better manage their expense-related purchasing and vendor payments processes. Corpay’s smarter payment and spend management solutions are delivered in a variety of ways depending on the needs of the customer, from physical payment cards to software that includes customizable controls and robust payment capabilities. Our solutions “keep business moving” and result in our customers better controlling purchases, mitigating fraud, and ultimately spending less.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Our unique positioning and focus on performance drove our results in 2025. We realized impressive performance:</w:t>
      </w:r>
    </w:p>
    <w:p>
      <w:pPr>
        <w:spacing w:after="0" w:line="127" w:lineRule="exact"/>
        <w:rPr>
          <w:sz w:val="20"/>
          <w:szCs w:val="20"/>
          <w:color w:val="auto"/>
        </w:rPr>
      </w:pPr>
    </w:p>
    <w:p>
      <w:pPr>
        <w:ind w:left="340" w:hanging="251"/>
        <w:spacing w:after="0"/>
        <w:tabs>
          <w:tab w:leader="none" w:pos="340" w:val="left"/>
        </w:tabs>
        <w:numPr>
          <w:ilvl w:val="0"/>
          <w:numId w:val="24"/>
        </w:numPr>
        <w:rPr>
          <w:rFonts w:ascii="Arial" w:cs="Arial" w:eastAsia="Arial" w:hAnsi="Arial"/>
          <w:sz w:val="11"/>
          <w:szCs w:val="11"/>
          <w:color w:val="BE1549"/>
        </w:rPr>
      </w:pPr>
      <w:r>
        <w:rPr>
          <w:rFonts w:ascii="Arial" w:cs="Arial" w:eastAsia="Arial" w:hAnsi="Arial"/>
          <w:sz w:val="16"/>
          <w:szCs w:val="16"/>
          <w:color w:val="auto"/>
        </w:rPr>
        <w:t>Record high revenue of $4.5 billion, up 14%, and Adjusted EPS of $21.38, up 12%*</w:t>
      </w:r>
    </w:p>
    <w:p>
      <w:pPr>
        <w:spacing w:after="0" w:line="113" w:lineRule="exact"/>
        <w:rPr>
          <w:rFonts w:ascii="Arial" w:cs="Arial" w:eastAsia="Arial" w:hAnsi="Arial"/>
          <w:sz w:val="11"/>
          <w:szCs w:val="11"/>
          <w:color w:val="BE1549"/>
        </w:rPr>
      </w:pPr>
    </w:p>
    <w:p>
      <w:pPr>
        <w:ind w:left="340" w:hanging="251"/>
        <w:spacing w:after="0"/>
        <w:tabs>
          <w:tab w:leader="none" w:pos="340" w:val="left"/>
        </w:tabs>
        <w:numPr>
          <w:ilvl w:val="0"/>
          <w:numId w:val="24"/>
        </w:numPr>
        <w:rPr>
          <w:rFonts w:ascii="Arial" w:cs="Arial" w:eastAsia="Arial" w:hAnsi="Arial"/>
          <w:sz w:val="11"/>
          <w:szCs w:val="11"/>
          <w:color w:val="BE1549"/>
        </w:rPr>
      </w:pPr>
      <w:r>
        <w:rPr>
          <w:rFonts w:ascii="Arial" w:cs="Arial" w:eastAsia="Arial" w:hAnsi="Arial"/>
          <w:sz w:val="16"/>
          <w:szCs w:val="16"/>
          <w:color w:val="auto"/>
        </w:rPr>
        <w:t>Organic revenue growth for 2025 was up 10%*</w:t>
      </w:r>
    </w:p>
    <w:p>
      <w:pPr>
        <w:spacing w:after="0" w:line="126" w:lineRule="exact"/>
        <w:rPr>
          <w:rFonts w:ascii="Arial" w:cs="Arial" w:eastAsia="Arial" w:hAnsi="Arial"/>
          <w:sz w:val="11"/>
          <w:szCs w:val="11"/>
          <w:color w:val="BE1549"/>
        </w:rPr>
      </w:pPr>
    </w:p>
    <w:p>
      <w:pPr>
        <w:ind w:left="340" w:hanging="251"/>
        <w:spacing w:after="0"/>
        <w:tabs>
          <w:tab w:leader="none" w:pos="340" w:val="left"/>
        </w:tabs>
        <w:numPr>
          <w:ilvl w:val="0"/>
          <w:numId w:val="24"/>
        </w:numPr>
        <w:rPr>
          <w:rFonts w:ascii="Arial" w:cs="Arial" w:eastAsia="Arial" w:hAnsi="Arial"/>
          <w:sz w:val="11"/>
          <w:szCs w:val="11"/>
          <w:color w:val="BE1549"/>
        </w:rPr>
      </w:pPr>
      <w:r>
        <w:rPr>
          <w:rFonts w:ascii="Arial" w:cs="Arial" w:eastAsia="Arial" w:hAnsi="Arial"/>
          <w:sz w:val="16"/>
          <w:szCs w:val="16"/>
          <w:color w:val="auto"/>
        </w:rPr>
        <w:t>2025 sales was up 29%*</w:t>
      </w:r>
    </w:p>
    <w:p>
      <w:pPr>
        <w:spacing w:after="0" w:line="113" w:lineRule="exact"/>
        <w:rPr>
          <w:rFonts w:ascii="Arial" w:cs="Arial" w:eastAsia="Arial" w:hAnsi="Arial"/>
          <w:sz w:val="11"/>
          <w:szCs w:val="11"/>
          <w:color w:val="BE1549"/>
        </w:rPr>
      </w:pPr>
    </w:p>
    <w:p>
      <w:pPr>
        <w:ind w:left="340" w:hanging="251"/>
        <w:spacing w:after="0"/>
        <w:tabs>
          <w:tab w:leader="none" w:pos="340" w:val="left"/>
        </w:tabs>
        <w:numPr>
          <w:ilvl w:val="0"/>
          <w:numId w:val="24"/>
        </w:numPr>
        <w:rPr>
          <w:rFonts w:ascii="Arial" w:cs="Arial" w:eastAsia="Arial" w:hAnsi="Arial"/>
          <w:sz w:val="11"/>
          <w:szCs w:val="11"/>
          <w:color w:val="BE1549"/>
        </w:rPr>
      </w:pPr>
      <w:r>
        <w:rPr>
          <w:rFonts w:ascii="Arial" w:cs="Arial" w:eastAsia="Arial" w:hAnsi="Arial"/>
          <w:sz w:val="16"/>
          <w:szCs w:val="16"/>
          <w:color w:val="auto"/>
        </w:rPr>
        <w:t>$4.3 billion of capital transacted for acquisitions, investments and stock buybacks</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 as compared to prior year</w:t>
      </w:r>
    </w:p>
    <w:p>
      <w:pPr>
        <w:spacing w:after="0" w:line="200" w:lineRule="exact"/>
        <w:rPr>
          <w:sz w:val="20"/>
          <w:szCs w:val="20"/>
          <w:color w:val="auto"/>
        </w:rPr>
      </w:pPr>
    </w:p>
    <w:p>
      <w:pPr>
        <w:spacing w:after="0" w:line="292"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24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1440" w:right="1419" w:bottom="1440" w:gutter="0" w:footer="0" w:header="0"/>
        </w:sectPr>
      </w:pPr>
    </w:p>
    <w:bookmarkStart w:id="30" w:name="page31"/>
    <w:bookmarkEnd w:id="30"/>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continued to improve our positioning in 2025, extending both the product set and customer segments in our two primary businesses, Corporate Payments and Vehicle Payments, representing more than 80% of our revenue. These efforts increase our business, products and services against a more than $100 trillion global total addressable market, which positions us to continue our historically consistent organic and inorganic growth. Additional highlights from 2025 include:</w:t>
      </w:r>
    </w:p>
    <w:p>
      <w:pPr>
        <w:spacing w:after="0" w:line="132" w:lineRule="exact"/>
        <w:rPr>
          <w:sz w:val="20"/>
          <w:szCs w:val="20"/>
          <w:color w:val="auto"/>
        </w:rPr>
      </w:pPr>
    </w:p>
    <w:p>
      <w:pPr>
        <w:jc w:val="both"/>
        <w:ind w:left="340" w:right="200" w:hanging="251"/>
        <w:spacing w:after="0" w:line="266" w:lineRule="auto"/>
        <w:tabs>
          <w:tab w:leader="none" w:pos="340" w:val="left"/>
        </w:tabs>
        <w:numPr>
          <w:ilvl w:val="0"/>
          <w:numId w:val="25"/>
        </w:numPr>
        <w:rPr>
          <w:rFonts w:ascii="Arial" w:cs="Arial" w:eastAsia="Arial" w:hAnsi="Arial"/>
          <w:sz w:val="11"/>
          <w:szCs w:val="11"/>
          <w:color w:val="BE1549"/>
        </w:rPr>
      </w:pPr>
      <w:r>
        <w:rPr>
          <w:rFonts w:ascii="Arial" w:cs="Arial" w:eastAsia="Arial" w:hAnsi="Arial"/>
          <w:sz w:val="16"/>
          <w:szCs w:val="16"/>
          <w:color w:val="auto"/>
        </w:rPr>
        <w:t>In Corporate Payments, we closed three meaningful transactions including the 2nd largest acquisition in the Company’s history. These transactions expand our target customer segments meaningfully, with access now to financial institutions and private capital markets within our cross-border business</w:t>
      </w:r>
    </w:p>
    <w:p>
      <w:pPr>
        <w:spacing w:after="0" w:line="130" w:lineRule="exact"/>
        <w:rPr>
          <w:rFonts w:ascii="Arial" w:cs="Arial" w:eastAsia="Arial" w:hAnsi="Arial"/>
          <w:sz w:val="11"/>
          <w:szCs w:val="11"/>
          <w:color w:val="BE1549"/>
        </w:rPr>
      </w:pPr>
    </w:p>
    <w:p>
      <w:pPr>
        <w:ind w:left="340" w:right="620" w:hanging="251"/>
        <w:spacing w:after="0" w:line="286" w:lineRule="auto"/>
        <w:tabs>
          <w:tab w:leader="none" w:pos="340" w:val="left"/>
        </w:tabs>
        <w:numPr>
          <w:ilvl w:val="0"/>
          <w:numId w:val="25"/>
        </w:numPr>
        <w:rPr>
          <w:rFonts w:ascii="Arial" w:cs="Arial" w:eastAsia="Arial" w:hAnsi="Arial"/>
          <w:sz w:val="11"/>
          <w:szCs w:val="11"/>
          <w:color w:val="BE1549"/>
        </w:rPr>
      </w:pPr>
      <w:r>
        <w:rPr>
          <w:rFonts w:ascii="Arial" w:cs="Arial" w:eastAsia="Arial" w:hAnsi="Arial"/>
          <w:sz w:val="16"/>
          <w:szCs w:val="16"/>
          <w:color w:val="auto"/>
        </w:rPr>
        <w:t>In Vehicle Payments, we purchased another digital mobility solution company for paying vehicle-related taxes and compliance fees in Brazil</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focused on the future, as we continue to capture and drive scale in our Corporate Payments business, while looking for both organic and inorganic opportunities to supplement our current growth.</w:t>
      </w:r>
    </w:p>
    <w:p>
      <w:pPr>
        <w:spacing w:after="0" w:line="10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compensation programs reflect and reward our NEOs for individual and corporate wide performance and are structured to be aligned with shareholder value creation.</w:t>
      </w:r>
    </w:p>
    <w:p>
      <w:pPr>
        <w:spacing w:after="0" w:line="60" w:lineRule="exact"/>
        <w:rPr>
          <w:sz w:val="20"/>
          <w:szCs w:val="20"/>
          <w:color w:val="auto"/>
        </w:rPr>
      </w:pPr>
    </w:p>
    <w:p>
      <w:pPr>
        <w:spacing w:after="0"/>
        <w:rPr>
          <w:sz w:val="20"/>
          <w:szCs w:val="20"/>
          <w:color w:val="auto"/>
        </w:rPr>
      </w:pPr>
      <w:r>
        <w:rPr>
          <w:rFonts w:ascii="Arial" w:cs="Arial" w:eastAsia="Arial" w:hAnsi="Arial"/>
          <w:sz w:val="32"/>
          <w:szCs w:val="32"/>
          <w:color w:val="C43776"/>
        </w:rPr>
        <w:t>Responsiveness to 2025 Say-On-Pay Vote</w:t>
      </w:r>
    </w:p>
    <w:p>
      <w:pPr>
        <w:spacing w:after="0" w:line="15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Our say-on-pay proposal at our 2025 annual meeting received approximately 54% approval. Although the compensation committee viewed this approval by the majority of our shareholders as demonstrating support for our executive compensation program, we continued our shareholder outreach efforts in 2025, including inviting discussion with representatives of our executive team and the Board, including our compensation committee Chair.</w:t>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color w:val="C43776"/>
        </w:rPr>
        <w:t>Shareholder Outreach Process</w:t>
      </w:r>
    </w:p>
    <w:p>
      <w:pPr>
        <w:spacing w:after="0" w:line="14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Board and management have taken a long-term view toward shareholder engagement and recognize that solicitation and consideration of shareholder feedback is critical to being a high-performing company and creating shareholder value. As a result, we regularly engage with our shareholders throughout the year in multiple forms—calls, in-person meetings and shareholder conferences—to encourage ongoing, meaningful dialogue. Feedback received was shared regularly with the Board, including the compensation committee, for review and discussion in anticipation of establishing 2026 compensation. Based on our outreach efforts and our review of the recommendations of proxy advisory firms, the table below summarizes what we heard and how we responded in 2025 and 2026.</w:t>
      </w:r>
    </w:p>
    <w:p>
      <w:pPr>
        <w:spacing w:after="0" w:line="340" w:lineRule="exact"/>
        <w:rPr>
          <w:sz w:val="20"/>
          <w:szCs w:val="20"/>
          <w:color w:val="auto"/>
        </w:rPr>
      </w:pPr>
    </w:p>
    <w:p>
      <w:pPr>
        <w:ind w:left="140"/>
        <w:spacing w:after="0"/>
        <w:tabs>
          <w:tab w:leader="none" w:pos="2240" w:val="left"/>
        </w:tabs>
        <w:rPr>
          <w:sz w:val="20"/>
          <w:szCs w:val="20"/>
          <w:color w:val="auto"/>
        </w:rPr>
      </w:pPr>
      <w:r>
        <w:rPr>
          <w:rFonts w:ascii="Arial" w:cs="Arial" w:eastAsia="Arial" w:hAnsi="Arial"/>
          <w:sz w:val="14"/>
          <w:szCs w:val="14"/>
          <w:b w:val="1"/>
          <w:bCs w:val="1"/>
          <w:color w:val="FFFFFF"/>
        </w:rPr>
        <w:t>What we heard</w:t>
      </w:r>
      <w:r>
        <w:rPr>
          <w:sz w:val="20"/>
          <w:szCs w:val="20"/>
          <w:color w:val="auto"/>
        </w:rPr>
        <w:tab/>
      </w:r>
      <w:r>
        <w:rPr>
          <w:rFonts w:ascii="Arial" w:cs="Arial" w:eastAsia="Arial" w:hAnsi="Arial"/>
          <w:sz w:val="14"/>
          <w:szCs w:val="14"/>
          <w:b w:val="1"/>
          <w:bCs w:val="1"/>
          <w:color w:val="FFFFFF"/>
        </w:rPr>
        <w:t>What we have done in response</w:t>
      </w:r>
    </w:p>
    <w:p>
      <w:pPr>
        <w:sectPr>
          <w:pgSz w:w="11900" w:h="16838" w:orient="portrait"/>
          <w:cols w:equalWidth="0" w:num="1">
            <w:col w:w="9080"/>
          </w:cols>
          <w:pgMar w:left="1400" w:top="729"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40"/>
        <w:spacing w:after="0" w:line="269" w:lineRule="auto"/>
        <w:rPr>
          <w:sz w:val="20"/>
          <w:szCs w:val="20"/>
          <w:color w:val="auto"/>
        </w:rPr>
      </w:pPr>
      <w:r>
        <w:rPr>
          <w:rFonts w:ascii="Arial" w:cs="Arial" w:eastAsia="Arial" w:hAnsi="Arial"/>
          <w:sz w:val="14"/>
          <w:szCs w:val="14"/>
          <w:b w:val="1"/>
          <w:bCs w:val="1"/>
          <w:color w:val="auto"/>
        </w:rPr>
        <w:t>Interest in the direction of NEO compensation, including metrics used for NEO incentive-based compensation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420"/>
        <w:spacing w:after="0" w:line="269" w:lineRule="auto"/>
        <w:rPr>
          <w:sz w:val="20"/>
          <w:szCs w:val="20"/>
          <w:color w:val="auto"/>
        </w:rPr>
      </w:pPr>
      <w:r>
        <w:rPr>
          <w:rFonts w:ascii="Arial" w:cs="Arial" w:eastAsia="Arial" w:hAnsi="Arial"/>
          <w:sz w:val="14"/>
          <w:szCs w:val="14"/>
          <w:u w:val="single" w:color="auto"/>
          <w:color w:val="auto"/>
        </w:rPr>
        <w:t>Annual Bonus Equity Incentive Performance Metrics:</w:t>
      </w:r>
      <w:r>
        <w:rPr>
          <w:rFonts w:ascii="Arial" w:cs="Arial" w:eastAsia="Arial" w:hAnsi="Arial"/>
          <w:sz w:val="14"/>
          <w:szCs w:val="14"/>
          <w:color w:val="auto"/>
        </w:rPr>
        <w:t xml:space="preserve"> The entire portion of all participating NEOs’ (including the CEO) targeted Annual Bonus Equity Incentive opportunities for 2025 was contingent upon the achievement of pre-established financial and operating metrics. This incentive is fully denominated and settled in shares of stock and is in lieu of a traditional cash bonus opportunity.</w:t>
      </w:r>
    </w:p>
    <w:p>
      <w:pPr>
        <w:spacing w:after="0" w:line="21"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u w:val="single" w:color="auto"/>
          <w:color w:val="auto"/>
        </w:rPr>
        <w:t>Performance Linkages:</w:t>
      </w:r>
      <w:r>
        <w:rPr>
          <w:rFonts w:ascii="Arial" w:cs="Arial" w:eastAsia="Arial" w:hAnsi="Arial"/>
          <w:sz w:val="14"/>
          <w:szCs w:val="14"/>
          <w:color w:val="auto"/>
        </w:rPr>
        <w:t xml:space="preserve"> The 2025 equity incentives to all of our NEOs were comprised at least 50% of performance-based incentives, except for Mr. Netto due to his tax equalization award discussed below. These performance-based incentives were 100% contingent on the achievement of pre-established earnings per share, revenue and/or operating metrics.</w:t>
      </w:r>
    </w:p>
    <w:p>
      <w:pPr>
        <w:spacing w:after="0" w:line="70" w:lineRule="exact"/>
        <w:rPr>
          <w:sz w:val="20"/>
          <w:szCs w:val="20"/>
          <w:color w:val="auto"/>
        </w:rPr>
      </w:pPr>
    </w:p>
    <w:p>
      <w:pPr>
        <w:sectPr>
          <w:pgSz w:w="11900" w:h="16838" w:orient="portrait"/>
          <w:cols w:equalWidth="0" w:num="2">
            <w:col w:w="1940" w:space="320"/>
            <w:col w:w="6820"/>
          </w:cols>
          <w:pgMar w:left="1400" w:top="729" w:right="1419" w:bottom="1440" w:gutter="0" w:footer="0" w:header="0"/>
          <w:type w:val="continuous"/>
        </w:sectPr>
      </w:pPr>
    </w:p>
    <w:tbl>
      <w:tblPr>
        <w:tblLayout w:type="fixed"/>
        <w:tblInd w:w="0" w:type="dxa"/>
        <w:tblCellMar>
          <w:top w:w="0" w:type="dxa"/>
          <w:left w:w="0" w:type="dxa"/>
          <w:bottom w:w="0" w:type="dxa"/>
          <w:right w:w="0" w:type="dxa"/>
        </w:tblCellMar>
      </w:tblPr>
      <w:tr>
        <w:trPr>
          <w:trHeight w:val="301"/>
        </w:trPr>
        <w:tc>
          <w:tcPr>
            <w:tcW w:w="100" w:type="dxa"/>
            <w:vAlign w:val="bottom"/>
            <w:shd w:val="clear" w:color="auto" w:fill="F1F2F2"/>
          </w:tcPr>
          <w:p>
            <w:pPr>
              <w:spacing w:after="0"/>
              <w:rPr>
                <w:sz w:val="24"/>
                <w:szCs w:val="24"/>
                <w:color w:val="auto"/>
              </w:rPr>
            </w:pPr>
          </w:p>
        </w:tc>
        <w:tc>
          <w:tcPr>
            <w:tcW w:w="19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The majority of NEO</w:t>
            </w:r>
          </w:p>
        </w:tc>
        <w:tc>
          <w:tcPr>
            <w:tcW w:w="7040" w:type="dxa"/>
            <w:vAlign w:val="bottom"/>
            <w:vMerge w:val="restart"/>
            <w:shd w:val="clear" w:color="auto" w:fill="F1F2F2"/>
          </w:tcPr>
          <w:p>
            <w:pPr>
              <w:ind w:left="220"/>
              <w:spacing w:after="0"/>
              <w:rPr>
                <w:sz w:val="20"/>
                <w:szCs w:val="20"/>
                <w:color w:val="auto"/>
              </w:rPr>
            </w:pPr>
            <w:r>
              <w:rPr>
                <w:rFonts w:ascii="Arial" w:cs="Arial" w:eastAsia="Arial" w:hAnsi="Arial"/>
                <w:sz w:val="14"/>
                <w:szCs w:val="14"/>
                <w:color w:val="auto"/>
              </w:rPr>
              <w:t>For 2026, we ensured more than 50% of all NEO equity incentives in the aggregate is performance-</w:t>
            </w:r>
          </w:p>
        </w:tc>
        <w:tc>
          <w:tcPr>
            <w:tcW w:w="0" w:type="dxa"/>
            <w:vAlign w:val="bottom"/>
          </w:tcPr>
          <w:p>
            <w:pPr>
              <w:spacing w:after="0"/>
              <w:rPr>
                <w:sz w:val="1"/>
                <w:szCs w:val="1"/>
                <w:color w:val="auto"/>
              </w:rPr>
            </w:pPr>
          </w:p>
        </w:tc>
      </w:tr>
      <w:tr>
        <w:trPr>
          <w:trHeight w:val="94"/>
        </w:trPr>
        <w:tc>
          <w:tcPr>
            <w:tcW w:w="100" w:type="dxa"/>
            <w:vAlign w:val="bottom"/>
            <w:shd w:val="clear" w:color="auto" w:fill="F1F2F2"/>
          </w:tcPr>
          <w:p>
            <w:pPr>
              <w:spacing w:after="0"/>
              <w:rPr>
                <w:sz w:val="8"/>
                <w:szCs w:val="8"/>
                <w:color w:val="auto"/>
              </w:rPr>
            </w:pPr>
          </w:p>
        </w:tc>
        <w:tc>
          <w:tcPr>
            <w:tcW w:w="194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compensation should be</w:t>
            </w:r>
          </w:p>
        </w:tc>
        <w:tc>
          <w:tcPr>
            <w:tcW w:w="704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1F2F2"/>
          </w:tcPr>
          <w:p>
            <w:pPr>
              <w:spacing w:after="0"/>
              <w:rPr>
                <w:sz w:val="7"/>
                <w:szCs w:val="7"/>
                <w:color w:val="auto"/>
              </w:rPr>
            </w:pPr>
          </w:p>
        </w:tc>
        <w:tc>
          <w:tcPr>
            <w:tcW w:w="1940" w:type="dxa"/>
            <w:vAlign w:val="bottom"/>
            <w:vMerge w:val="continue"/>
            <w:shd w:val="clear" w:color="auto" w:fill="F1F2F2"/>
          </w:tcPr>
          <w:p>
            <w:pPr>
              <w:spacing w:after="0"/>
              <w:rPr>
                <w:sz w:val="7"/>
                <w:szCs w:val="7"/>
                <w:color w:val="auto"/>
              </w:rPr>
            </w:pPr>
          </w:p>
        </w:tc>
        <w:tc>
          <w:tcPr>
            <w:tcW w:w="7040" w:type="dxa"/>
            <w:vAlign w:val="bottom"/>
            <w:vMerge w:val="restart"/>
            <w:shd w:val="clear" w:color="auto" w:fill="F1F2F2"/>
          </w:tcPr>
          <w:p>
            <w:pPr>
              <w:ind w:left="220"/>
              <w:spacing w:after="0"/>
              <w:rPr>
                <w:sz w:val="20"/>
                <w:szCs w:val="20"/>
                <w:color w:val="auto"/>
              </w:rPr>
            </w:pPr>
            <w:r>
              <w:rPr>
                <w:rFonts w:ascii="Arial" w:cs="Arial" w:eastAsia="Arial" w:hAnsi="Arial"/>
                <w:sz w:val="14"/>
                <w:szCs w:val="14"/>
                <w:color w:val="auto"/>
              </w:rPr>
              <w:t>based.</w:t>
            </w:r>
          </w:p>
        </w:tc>
        <w:tc>
          <w:tcPr>
            <w:tcW w:w="0" w:type="dxa"/>
            <w:vAlign w:val="bottom"/>
          </w:tcPr>
          <w:p>
            <w:pPr>
              <w:spacing w:after="0"/>
              <w:rPr>
                <w:sz w:val="1"/>
                <w:szCs w:val="1"/>
                <w:color w:val="auto"/>
              </w:rPr>
            </w:pPr>
          </w:p>
        </w:tc>
      </w:tr>
      <w:tr>
        <w:trPr>
          <w:trHeight w:val="109"/>
        </w:trPr>
        <w:tc>
          <w:tcPr>
            <w:tcW w:w="100" w:type="dxa"/>
            <w:vAlign w:val="bottom"/>
            <w:shd w:val="clear" w:color="auto" w:fill="F1F2F2"/>
          </w:tcPr>
          <w:p>
            <w:pPr>
              <w:spacing w:after="0"/>
              <w:rPr>
                <w:sz w:val="9"/>
                <w:szCs w:val="9"/>
                <w:color w:val="auto"/>
              </w:rPr>
            </w:pPr>
          </w:p>
        </w:tc>
        <w:tc>
          <w:tcPr>
            <w:tcW w:w="194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performance-based</w:t>
            </w:r>
          </w:p>
        </w:tc>
        <w:tc>
          <w:tcPr>
            <w:tcW w:w="704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0" w:type="dxa"/>
            <w:vAlign w:val="bottom"/>
            <w:shd w:val="clear" w:color="auto" w:fill="F1F2F2"/>
          </w:tcPr>
          <w:p>
            <w:pPr>
              <w:spacing w:after="0"/>
              <w:rPr>
                <w:sz w:val="7"/>
                <w:szCs w:val="7"/>
                <w:color w:val="auto"/>
              </w:rPr>
            </w:pPr>
          </w:p>
        </w:tc>
        <w:tc>
          <w:tcPr>
            <w:tcW w:w="1940" w:type="dxa"/>
            <w:vAlign w:val="bottom"/>
            <w:vMerge w:val="continue"/>
            <w:shd w:val="clear" w:color="auto" w:fill="F1F2F2"/>
          </w:tcPr>
          <w:p>
            <w:pPr>
              <w:spacing w:after="0"/>
              <w:rPr>
                <w:sz w:val="7"/>
                <w:szCs w:val="7"/>
                <w:color w:val="auto"/>
              </w:rPr>
            </w:pPr>
          </w:p>
        </w:tc>
        <w:tc>
          <w:tcPr>
            <w:tcW w:w="704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 w:type="dxa"/>
            <w:vAlign w:val="bottom"/>
            <w:shd w:val="clear" w:color="auto" w:fill="F1F2F2"/>
          </w:tcPr>
          <w:p>
            <w:pPr>
              <w:spacing w:after="0"/>
              <w:rPr>
                <w:sz w:val="8"/>
                <w:szCs w:val="8"/>
                <w:color w:val="auto"/>
              </w:rPr>
            </w:pPr>
          </w:p>
        </w:tc>
        <w:tc>
          <w:tcPr>
            <w:tcW w:w="1940" w:type="dxa"/>
            <w:vAlign w:val="bottom"/>
            <w:shd w:val="clear" w:color="auto" w:fill="F1F2F2"/>
          </w:tcPr>
          <w:p>
            <w:pPr>
              <w:spacing w:after="0"/>
              <w:rPr>
                <w:sz w:val="8"/>
                <w:szCs w:val="8"/>
                <w:color w:val="auto"/>
              </w:rPr>
            </w:pPr>
          </w:p>
        </w:tc>
        <w:tc>
          <w:tcPr>
            <w:tcW w:w="704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0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Arial" w:cs="Arial" w:eastAsia="Arial" w:hAnsi="Arial"/>
                <w:sz w:val="14"/>
                <w:szCs w:val="14"/>
                <w:b w:val="1"/>
                <w:bCs w:val="1"/>
                <w:color w:val="auto"/>
              </w:rPr>
              <w:t>Long-term compensation</w:t>
            </w:r>
          </w:p>
        </w:tc>
        <w:tc>
          <w:tcPr>
            <w:tcW w:w="7040" w:type="dxa"/>
            <w:vAlign w:val="bottom"/>
            <w:vMerge w:val="restart"/>
          </w:tcPr>
          <w:p>
            <w:pPr>
              <w:ind w:left="220"/>
              <w:spacing w:after="0"/>
              <w:rPr>
                <w:sz w:val="20"/>
                <w:szCs w:val="20"/>
                <w:color w:val="auto"/>
              </w:rPr>
            </w:pPr>
            <w:r>
              <w:rPr>
                <w:rFonts w:ascii="Arial" w:cs="Arial" w:eastAsia="Arial" w:hAnsi="Arial"/>
                <w:sz w:val="14"/>
                <w:szCs w:val="14"/>
                <w:color w:val="auto"/>
              </w:rPr>
              <w:t>Our long-term equity compensation has a vesting schedule that is more than one year. A portion of long-</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should have longer</w:t>
            </w:r>
          </w:p>
        </w:tc>
        <w:tc>
          <w:tcPr>
            <w:tcW w:w="7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7040" w:type="dxa"/>
            <w:vAlign w:val="bottom"/>
            <w:vMerge w:val="restart"/>
          </w:tcPr>
          <w:p>
            <w:pPr>
              <w:ind w:left="220"/>
              <w:spacing w:after="0"/>
              <w:rPr>
                <w:sz w:val="20"/>
                <w:szCs w:val="20"/>
                <w:color w:val="auto"/>
              </w:rPr>
            </w:pPr>
            <w:r>
              <w:rPr>
                <w:rFonts w:ascii="Arial" w:cs="Arial" w:eastAsia="Arial" w:hAnsi="Arial"/>
                <w:sz w:val="14"/>
                <w:szCs w:val="14"/>
                <w:color w:val="auto"/>
              </w:rPr>
              <w:t>term equity compensation has a performance measurement period of three years.</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measurement periods</w:t>
            </w:r>
          </w:p>
        </w:tc>
        <w:tc>
          <w:tcPr>
            <w:tcW w:w="7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7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25</w:t>
      </w:r>
    </w:p>
    <w:p>
      <w:pPr>
        <w:sectPr>
          <w:pgSz w:w="11900" w:h="16838" w:orient="portrait"/>
          <w:cols w:equalWidth="0" w:num="1">
            <w:col w:w="9080"/>
          </w:cols>
          <w:pgMar w:left="1400" w:top="729" w:right="1419" w:bottom="1440" w:gutter="0" w:footer="0" w:header="0"/>
          <w:type w:val="continuous"/>
        </w:sectPr>
      </w:pPr>
    </w:p>
    <w:bookmarkStart w:id="31" w:name="page32"/>
    <w:bookmarkEnd w:id="31"/>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tabs>
          <w:tab w:leader="none" w:pos="2240" w:val="left"/>
        </w:tabs>
        <w:rPr>
          <w:sz w:val="20"/>
          <w:szCs w:val="20"/>
          <w:color w:val="auto"/>
        </w:rPr>
      </w:pPr>
      <w:r>
        <w:rPr>
          <w:rFonts w:ascii="Arial" w:cs="Arial" w:eastAsia="Arial" w:hAnsi="Arial"/>
          <w:sz w:val="14"/>
          <w:szCs w:val="14"/>
          <w:b w:val="1"/>
          <w:bCs w:val="1"/>
          <w:color w:val="FFFFFF"/>
        </w:rPr>
        <w:t>What we heard</w:t>
      </w:r>
      <w:r>
        <w:rPr>
          <w:sz w:val="20"/>
          <w:szCs w:val="20"/>
          <w:color w:val="auto"/>
        </w:rPr>
        <w:tab/>
      </w:r>
      <w:r>
        <w:rPr>
          <w:rFonts w:ascii="Arial" w:cs="Arial" w:eastAsia="Arial" w:hAnsi="Arial"/>
          <w:sz w:val="14"/>
          <w:szCs w:val="14"/>
          <w:b w:val="1"/>
          <w:bCs w:val="1"/>
          <w:color w:val="FFFFFF"/>
        </w:rPr>
        <w:t>What we have done in response</w:t>
      </w:r>
    </w:p>
    <w:p>
      <w:pPr>
        <w:sectPr>
          <w:pgSz w:w="11900" w:h="16838" w:orient="portrait"/>
          <w:cols w:equalWidth="0" w:num="1">
            <w:col w:w="9060"/>
          </w:cols>
          <w:pgMar w:left="1400" w:top="769" w:right="14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140"/>
        <w:spacing w:after="0" w:line="287" w:lineRule="auto"/>
        <w:rPr>
          <w:sz w:val="20"/>
          <w:szCs w:val="20"/>
          <w:color w:val="auto"/>
        </w:rPr>
      </w:pPr>
      <w:r>
        <w:rPr>
          <w:rFonts w:ascii="Arial" w:cs="Arial" w:eastAsia="Arial" w:hAnsi="Arial"/>
          <w:sz w:val="14"/>
          <w:szCs w:val="14"/>
          <w:b w:val="1"/>
          <w:bCs w:val="1"/>
          <w:color w:val="auto"/>
        </w:rPr>
        <w:t>Compensation structures should align with value creation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180"/>
        <w:spacing w:after="0" w:line="266" w:lineRule="auto"/>
        <w:rPr>
          <w:sz w:val="20"/>
          <w:szCs w:val="20"/>
          <w:color w:val="auto"/>
        </w:rPr>
      </w:pPr>
      <w:r>
        <w:rPr>
          <w:rFonts w:ascii="Arial" w:cs="Arial" w:eastAsia="Arial" w:hAnsi="Arial"/>
          <w:sz w:val="14"/>
          <w:szCs w:val="14"/>
          <w:color w:val="auto"/>
        </w:rPr>
        <w:t>In 2025, incentives were granted 100% in the form of equity-based awards that are settled in the form of shares. We did not offer a traditional cash bonus opportunity to our NEOs and instead provided a short-term incentive opportunity in the form of an equity-based award (referred to as the Annual Bonus Equity Incentive). A portion of our NEOs’ targeted equity incentive opportunities are tied to the achievement of pre-established financial metrics that directly contribute to long-term shareholder value creation. We are committed to aligning the compensation of our NEOs with shareholder value creation.</w:t>
      </w:r>
    </w:p>
    <w:p>
      <w:pPr>
        <w:spacing w:after="0" w:line="198" w:lineRule="exact"/>
        <w:rPr>
          <w:sz w:val="20"/>
          <w:szCs w:val="20"/>
          <w:color w:val="auto"/>
        </w:rPr>
      </w:pPr>
    </w:p>
    <w:p>
      <w:pPr>
        <w:sectPr>
          <w:pgSz w:w="11900" w:h="16838" w:orient="portrait"/>
          <w:cols w:equalWidth="0" w:num="2">
            <w:col w:w="1900" w:space="360"/>
            <w:col w:w="6800"/>
          </w:cols>
          <w:pgMar w:left="1400" w:top="769" w:right="1439" w:bottom="1440" w:gutter="0" w:footer="0" w:header="0"/>
          <w:type w:val="continuous"/>
        </w:sectPr>
      </w:pPr>
    </w:p>
    <w:p>
      <w:pPr>
        <w:ind w:left="140"/>
        <w:spacing w:after="0" w:line="287" w:lineRule="auto"/>
        <w:rPr>
          <w:sz w:val="20"/>
          <w:szCs w:val="20"/>
          <w:color w:val="auto"/>
        </w:rPr>
      </w:pPr>
      <w:r>
        <w:rPr>
          <w:rFonts w:ascii="Arial" w:cs="Arial" w:eastAsia="Arial" w:hAnsi="Arial"/>
          <w:sz w:val="14"/>
          <w:szCs w:val="14"/>
          <w:b w:val="1"/>
          <w:bCs w:val="1"/>
          <w:color w:val="auto"/>
        </w:rPr>
        <w:t>CEO compensation structure should help ensure long-term retention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540"/>
        <w:spacing w:after="0" w:line="305" w:lineRule="auto"/>
        <w:rPr>
          <w:sz w:val="20"/>
          <w:szCs w:val="20"/>
          <w:color w:val="auto"/>
        </w:rPr>
      </w:pPr>
      <w:r>
        <w:rPr>
          <w:rFonts w:ascii="Arial" w:cs="Arial" w:eastAsia="Arial" w:hAnsi="Arial"/>
          <w:sz w:val="14"/>
          <w:szCs w:val="14"/>
          <w:color w:val="auto"/>
        </w:rPr>
        <w:t>In 2024, we provided the CEO with long-term equity awards, a portion of which has a performance measurement period of three years.</w:t>
      </w:r>
    </w:p>
    <w:p>
      <w:pPr>
        <w:spacing w:after="0" w:line="265" w:lineRule="exact"/>
        <w:rPr>
          <w:sz w:val="20"/>
          <w:szCs w:val="20"/>
          <w:color w:val="auto"/>
        </w:rPr>
      </w:pPr>
    </w:p>
    <w:p>
      <w:pPr>
        <w:sectPr>
          <w:pgSz w:w="11900" w:h="16838" w:orient="portrait"/>
          <w:cols w:equalWidth="0" w:num="2">
            <w:col w:w="1980" w:space="280"/>
            <w:col w:w="6800"/>
          </w:cols>
          <w:pgMar w:left="1400" w:top="769" w:right="1439" w:bottom="1440" w:gutter="0" w:footer="0" w:header="0"/>
          <w:type w:val="continuous"/>
        </w:sectPr>
      </w:pPr>
    </w:p>
    <w:p>
      <w:pPr>
        <w:spacing w:after="0" w:line="351" w:lineRule="exact"/>
        <w:rPr>
          <w:sz w:val="20"/>
          <w:szCs w:val="20"/>
          <w:color w:val="auto"/>
        </w:rPr>
      </w:pPr>
    </w:p>
    <w:p>
      <w:pPr>
        <w:ind w:left="140"/>
        <w:spacing w:after="0" w:line="272" w:lineRule="auto"/>
        <w:rPr>
          <w:sz w:val="20"/>
          <w:szCs w:val="20"/>
          <w:color w:val="auto"/>
        </w:rPr>
      </w:pPr>
      <w:r>
        <w:rPr>
          <w:rFonts w:ascii="Arial" w:cs="Arial" w:eastAsia="Arial" w:hAnsi="Arial"/>
          <w:sz w:val="14"/>
          <w:szCs w:val="14"/>
          <w:b w:val="1"/>
          <w:bCs w:val="1"/>
          <w:color w:val="auto"/>
        </w:rPr>
        <w:t>Compensation for NEOs should have a total shareholder return component</w:t>
      </w:r>
    </w:p>
    <w:p>
      <w:pPr>
        <w:spacing w:after="0" w:line="20" w:lineRule="exact"/>
        <w:rPr>
          <w:sz w:val="20"/>
          <w:szCs w:val="20"/>
          <w:color w:val="auto"/>
        </w:rPr>
      </w:pPr>
      <w:r>
        <w:rPr>
          <w:sz w:val="20"/>
          <w:szCs w:val="20"/>
          <w:color w:val="auto"/>
        </w:rPr>
        <w:br w:type="column"/>
      </w:r>
    </w:p>
    <w:p>
      <w:pPr>
        <w:ind w:right="200"/>
        <w:spacing w:after="0" w:line="262" w:lineRule="auto"/>
        <w:rPr>
          <w:sz w:val="20"/>
          <w:szCs w:val="20"/>
          <w:color w:val="auto"/>
        </w:rPr>
      </w:pPr>
      <w:r>
        <w:rPr>
          <w:rFonts w:ascii="Arial" w:cs="Arial" w:eastAsia="Arial" w:hAnsi="Arial"/>
          <w:sz w:val="14"/>
          <w:szCs w:val="14"/>
          <w:color w:val="auto"/>
        </w:rPr>
        <w:t>We continue to believe the performance metrics we have chosen for our equity incentives are directly aligned with the creation of shareholder value, and are therefore the most appropriate metrics in the near-term. We have considered the use of relative total shareholder return ("TSR"), but have found that there are too few companies in our direct operating space that present the opportunity for reliable and statistically relevant comparisons of TSR over a three-year period. We intend to continue to review the possibility of adding relative TSR as a metric in coming years, and are receptive to doing so in the event that reliable comparisons are available. At target, and on average, approximately 90% of NEO compensation is settled in shares of stock, implicitly incorporating a TSR component.</w:t>
      </w:r>
    </w:p>
    <w:p>
      <w:pPr>
        <w:spacing w:after="0" w:line="200" w:lineRule="exact"/>
        <w:rPr>
          <w:sz w:val="20"/>
          <w:szCs w:val="20"/>
          <w:color w:val="auto"/>
        </w:rPr>
      </w:pPr>
    </w:p>
    <w:p>
      <w:pPr>
        <w:sectPr>
          <w:pgSz w:w="11900" w:h="16838" w:orient="portrait"/>
          <w:cols w:equalWidth="0" w:num="2">
            <w:col w:w="1820" w:space="440"/>
            <w:col w:w="6800"/>
          </w:cols>
          <w:pgMar w:left="1400" w:top="769" w:right="1439" w:bottom="1440" w:gutter="0" w:footer="0" w:header="0"/>
          <w:type w:val="continuous"/>
        </w:sectPr>
      </w:pPr>
    </w:p>
    <w:p>
      <w:pPr>
        <w:spacing w:after="0" w:line="27" w:lineRule="exact"/>
        <w:rPr>
          <w:sz w:val="20"/>
          <w:szCs w:val="20"/>
          <w:color w:val="auto"/>
        </w:rPr>
      </w:pPr>
    </w:p>
    <w:p>
      <w:pPr>
        <w:ind w:left="140"/>
        <w:spacing w:after="0" w:line="268" w:lineRule="auto"/>
        <w:rPr>
          <w:sz w:val="20"/>
          <w:szCs w:val="20"/>
          <w:color w:val="auto"/>
        </w:rPr>
      </w:pPr>
      <w:r>
        <w:rPr>
          <w:rFonts w:ascii="Arial" w:cs="Arial" w:eastAsia="Arial" w:hAnsi="Arial"/>
          <w:sz w:val="14"/>
          <w:szCs w:val="14"/>
          <w:b w:val="1"/>
          <w:bCs w:val="1"/>
          <w:color w:val="auto"/>
        </w:rPr>
        <w:t>Disclosure should provide context for why the Company selects particular performance metrics for incentive-based compensation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As noted throughout this Proxy Statement, a portion of our NEOs’ equity incentives are tied to the achievement of the financial and operating metrics that best align with shareholder value creation and we have enhanced disclosure of the metrics.</w:t>
      </w:r>
    </w:p>
    <w:p>
      <w:pPr>
        <w:spacing w:after="0" w:line="452" w:lineRule="exact"/>
        <w:rPr>
          <w:sz w:val="20"/>
          <w:szCs w:val="20"/>
          <w:color w:val="auto"/>
        </w:rPr>
      </w:pPr>
    </w:p>
    <w:p>
      <w:pPr>
        <w:sectPr>
          <w:pgSz w:w="11900" w:h="16838" w:orient="portrait"/>
          <w:cols w:equalWidth="0" w:num="2">
            <w:col w:w="1960" w:space="300"/>
            <w:col w:w="6800"/>
          </w:cols>
          <w:pgMar w:left="1400" w:top="769" w:right="14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32"/>
          <w:szCs w:val="32"/>
          <w:color w:val="C43776"/>
        </w:rPr>
        <w:t>2021-2025 CEO Equity Compensation</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During the five-year period of 2021-2025, our CEO, Mr. Clarke has been granted long-term equity compensation awards twice, which provided Mr. Clarke's entire long-term incentive opportunity covering the grant years of 2021 through 2025. We believe that the aggregate grant date fair value has offered a competitive overall long-term award opportunity for these five years, generally commensurate with peer practices. Grants in those years consisted of:</w:t>
      </w:r>
    </w:p>
    <w:p>
      <w:pPr>
        <w:spacing w:after="0" w:line="114" w:lineRule="exact"/>
        <w:rPr>
          <w:sz w:val="20"/>
          <w:szCs w:val="20"/>
          <w:color w:val="auto"/>
        </w:rPr>
      </w:pPr>
    </w:p>
    <w:p>
      <w:pPr>
        <w:ind w:left="340" w:right="40" w:hanging="251"/>
        <w:spacing w:after="0" w:line="286" w:lineRule="auto"/>
        <w:tabs>
          <w:tab w:leader="none" w:pos="340" w:val="left"/>
        </w:tabs>
        <w:numPr>
          <w:ilvl w:val="0"/>
          <w:numId w:val="26"/>
        </w:numPr>
        <w:rPr>
          <w:rFonts w:ascii="Arial" w:cs="Arial" w:eastAsia="Arial" w:hAnsi="Arial"/>
          <w:sz w:val="11"/>
          <w:szCs w:val="11"/>
          <w:color w:val="BE1549"/>
        </w:rPr>
      </w:pPr>
      <w:r>
        <w:rPr>
          <w:rFonts w:ascii="Arial" w:cs="Arial" w:eastAsia="Arial" w:hAnsi="Arial"/>
          <w:sz w:val="16"/>
          <w:szCs w:val="16"/>
          <w:color w:val="auto"/>
        </w:rPr>
        <w:t>In 2021, 850,000 performance-based stock options with stock price hurdles of $350 and $400, with a grant date fair value of $55,556,000; and</w:t>
      </w:r>
    </w:p>
    <w:p>
      <w:pPr>
        <w:spacing w:after="0" w:line="7" w:lineRule="exact"/>
        <w:rPr>
          <w:rFonts w:ascii="Arial" w:cs="Arial" w:eastAsia="Arial" w:hAnsi="Arial"/>
          <w:sz w:val="11"/>
          <w:szCs w:val="11"/>
          <w:color w:val="BE1549"/>
        </w:rPr>
      </w:pPr>
    </w:p>
    <w:p>
      <w:pPr>
        <w:jc w:val="both"/>
        <w:ind w:left="340" w:right="280" w:hanging="251"/>
        <w:spacing w:after="0" w:line="275" w:lineRule="auto"/>
        <w:tabs>
          <w:tab w:leader="none" w:pos="340" w:val="left"/>
        </w:tabs>
        <w:numPr>
          <w:ilvl w:val="0"/>
          <w:numId w:val="26"/>
        </w:numPr>
        <w:rPr>
          <w:rFonts w:ascii="Arial" w:cs="Arial" w:eastAsia="Arial" w:hAnsi="Arial"/>
          <w:sz w:val="11"/>
          <w:szCs w:val="11"/>
          <w:color w:val="BE1549"/>
        </w:rPr>
      </w:pPr>
      <w:r>
        <w:rPr>
          <w:rFonts w:ascii="Arial" w:cs="Arial" w:eastAsia="Arial" w:hAnsi="Arial"/>
          <w:sz w:val="16"/>
          <w:szCs w:val="16"/>
          <w:color w:val="auto"/>
        </w:rPr>
        <w:t>In 2024, (i) 21,661 performance-based shares with a grant date fair value of $5,900,023, (ii) 6,609 performance-based shares with a grant date fair value of $1,800,159, (iii) 10,831 performance-based shares with a grant date fair value of $2,950,147, and (iv) 21,661 time-based shares with a grant date fair value of $5,900,023.</w:t>
      </w:r>
    </w:p>
    <w:p>
      <w:pPr>
        <w:spacing w:after="0" w:line="11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Mr. Clarke received no long-term equity grants in 2022, 2023 or 2025. Meanwhile, the profit performance of the Company since 2021 has increased from Adjusted EPS of $13.21 to Adjusted EPS of $21.38 for 2025.</w:t>
      </w:r>
    </w:p>
    <w:p>
      <w:pPr>
        <w:spacing w:after="0" w:line="11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aggregate grant date fair value of awards over this five-year period was $72,106,352. This results in a $14,421,270 grant date fair value on an annualized basis, which we view as reasonably consistent with that of a peer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26</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60"/>
          </w:cols>
          <w:pgMar w:left="1400" w:top="769" w:right="1439" w:bottom="1440" w:gutter="0" w:footer="0" w:header="0"/>
          <w:type w:val="continuous"/>
        </w:sectPr>
      </w:pPr>
    </w:p>
    <w:bookmarkStart w:id="32" w:name="page33"/>
    <w:bookmarkEnd w:id="32"/>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color w:val="C43776"/>
        </w:rPr>
        <w:t>Forward-Leaning Compensation Practices</w:t>
      </w:r>
    </w:p>
    <w:p>
      <w:pPr>
        <w:spacing w:after="0" w:line="159"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Corpay has embraced best practices in our compensation programs, which strongly support our pay-for-performance philosophy and culture:</w:t>
      </w:r>
    </w:p>
    <w:p>
      <w:pPr>
        <w:spacing w:after="0" w:line="115" w:lineRule="exact"/>
        <w:rPr>
          <w:sz w:val="20"/>
          <w:szCs w:val="20"/>
          <w:color w:val="auto"/>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NEO compensation aligned with Company and, as applicable, division performance</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Total target pay levels generally at or below peer median</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Significant portion of NEO compensation generally delivered in the form of equity-based awards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Different performance metrics for different compensation components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Incentive payouts tied closely to achieving published guidance</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Significant stock ownership requirements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No repricing or cashing out of underwater stock options or stock appreciation rights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No hedging or pledging of common shares</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No excise tax gross-ups</w:t>
      </w:r>
    </w:p>
    <w:p>
      <w:pPr>
        <w:spacing w:after="0" w:line="59" w:lineRule="exact"/>
        <w:rPr>
          <w:rFonts w:ascii="Arial" w:cs="Arial" w:eastAsia="Arial" w:hAnsi="Arial"/>
          <w:sz w:val="11"/>
          <w:szCs w:val="11"/>
          <w:color w:val="BE1549"/>
        </w:rPr>
      </w:pPr>
    </w:p>
    <w:p>
      <w:pPr>
        <w:ind w:left="340" w:right="500" w:hanging="251"/>
        <w:spacing w:after="0" w:line="290" w:lineRule="auto"/>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Maintain a compensation clawback policy that exceeds the Dodd-Frank Act requirements by extending to executive misconduct</w:t>
      </w: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Below-market severance policies</w:t>
      </w:r>
    </w:p>
    <w:p>
      <w:pPr>
        <w:spacing w:after="0" w:line="59" w:lineRule="exact"/>
        <w:rPr>
          <w:rFonts w:ascii="Arial" w:cs="Arial" w:eastAsia="Arial" w:hAnsi="Arial"/>
          <w:sz w:val="11"/>
          <w:szCs w:val="11"/>
          <w:color w:val="BE1549"/>
        </w:rPr>
      </w:pPr>
    </w:p>
    <w:p>
      <w:pPr>
        <w:ind w:left="340" w:right="600" w:hanging="251"/>
        <w:spacing w:after="0" w:line="290" w:lineRule="auto"/>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Shareholder engagement includes governance committee Chair, compensation committee Chair, additional Board members and management</w:t>
      </w:r>
    </w:p>
    <w:p>
      <w:pPr>
        <w:ind w:left="340" w:hanging="251"/>
        <w:spacing w:after="0"/>
        <w:tabs>
          <w:tab w:leader="none" w:pos="340" w:val="left"/>
        </w:tabs>
        <w:numPr>
          <w:ilvl w:val="0"/>
          <w:numId w:val="27"/>
        </w:numPr>
        <w:rPr>
          <w:rFonts w:ascii="Arial" w:cs="Arial" w:eastAsia="Arial" w:hAnsi="Arial"/>
          <w:sz w:val="11"/>
          <w:szCs w:val="11"/>
          <w:color w:val="BE1549"/>
        </w:rPr>
      </w:pPr>
      <w:r>
        <w:rPr>
          <w:rFonts w:ascii="Arial" w:cs="Arial" w:eastAsia="Arial" w:hAnsi="Arial"/>
          <w:sz w:val="16"/>
          <w:szCs w:val="16"/>
          <w:color w:val="auto"/>
        </w:rPr>
        <w:t>Utilize an independent compensation consultant</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structure our executive compensation program to incorporate, on an ongoing basis, sound practices that are favored by shareholders, while avoiding practices that we do not believe are in shareholders’ best interests. The table below highlights the compensation practices we embrace and those that we do not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538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Things We Do</w:t>
            </w:r>
          </w:p>
        </w:tc>
        <w:tc>
          <w:tcPr>
            <w:tcW w:w="280" w:type="dxa"/>
            <w:vAlign w:val="bottom"/>
          </w:tcPr>
          <w:p>
            <w:pPr>
              <w:spacing w:after="0"/>
              <w:rPr>
                <w:sz w:val="24"/>
                <w:szCs w:val="24"/>
                <w:color w:val="auto"/>
              </w:rPr>
            </w:pPr>
          </w:p>
        </w:tc>
        <w:tc>
          <w:tcPr>
            <w:tcW w:w="3420" w:type="dxa"/>
            <w:vAlign w:val="bottom"/>
            <w:shd w:val="clear" w:color="auto" w:fill="582D43"/>
          </w:tcPr>
          <w:p>
            <w:pPr>
              <w:ind w:left="140"/>
              <w:spacing w:after="0"/>
              <w:rPr>
                <w:sz w:val="20"/>
                <w:szCs w:val="20"/>
                <w:color w:val="auto"/>
              </w:rPr>
            </w:pPr>
            <w:r>
              <w:rPr>
                <w:rFonts w:ascii="Arial" w:cs="Arial" w:eastAsia="Arial" w:hAnsi="Arial"/>
                <w:sz w:val="14"/>
                <w:szCs w:val="14"/>
                <w:b w:val="1"/>
                <w:bCs w:val="1"/>
                <w:color w:val="FFFFFF"/>
              </w:rPr>
              <w:t>Things We Do Not Do</w:t>
            </w:r>
          </w:p>
        </w:tc>
      </w:tr>
      <w:tr>
        <w:trPr>
          <w:trHeight w:val="110"/>
        </w:trPr>
        <w:tc>
          <w:tcPr>
            <w:tcW w:w="5380" w:type="dxa"/>
            <w:vAlign w:val="bottom"/>
            <w:shd w:val="clear" w:color="auto" w:fill="C43776"/>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shd w:val="clear" w:color="auto" w:fill="582D43"/>
          </w:tcPr>
          <w:p>
            <w:pPr>
              <w:spacing w:after="0"/>
              <w:rPr>
                <w:sz w:val="9"/>
                <w:szCs w:val="9"/>
                <w:color w:val="auto"/>
              </w:rPr>
            </w:pPr>
          </w:p>
        </w:tc>
      </w:tr>
    </w:tbl>
    <w:p>
      <w:pPr>
        <w:spacing w:after="0" w:line="55" w:lineRule="exact"/>
        <w:rPr>
          <w:sz w:val="20"/>
          <w:szCs w:val="20"/>
          <w:color w:val="auto"/>
        </w:rPr>
      </w:pPr>
    </w:p>
    <w:p>
      <w:pPr>
        <w:sectPr>
          <w:pgSz w:w="11900" w:h="16838" w:orient="portrait"/>
          <w:cols w:equalWidth="0" w:num="1">
            <w:col w:w="9080"/>
          </w:cols>
          <w:pgMar w:left="1400" w:top="729" w:right="1419" w:bottom="1440" w:gutter="0" w:footer="0" w:header="0"/>
        </w:sectPr>
      </w:pPr>
    </w:p>
    <w:p>
      <w:pPr>
        <w:ind w:left="520"/>
        <w:spacing w:after="0"/>
        <w:rPr>
          <w:sz w:val="20"/>
          <w:szCs w:val="20"/>
          <w:color w:val="auto"/>
        </w:rPr>
      </w:pPr>
      <w:r>
        <w:rPr>
          <w:rFonts w:ascii="Arial" w:cs="Arial" w:eastAsia="Arial" w:hAnsi="Arial"/>
          <w:sz w:val="14"/>
          <w:szCs w:val="14"/>
          <w:color w:val="auto"/>
        </w:rPr>
        <w:t>NEO incentive pay is tied to multiple financial performance conditions, and</w:t>
      </w:r>
    </w:p>
    <w:p>
      <w:pPr>
        <w:ind w:left="520" w:hanging="306"/>
        <w:spacing w:after="0" w:line="182" w:lineRule="auto"/>
        <w:tabs>
          <w:tab w:leader="none" w:pos="520" w:val="left"/>
        </w:tabs>
        <w:numPr>
          <w:ilvl w:val="0"/>
          <w:numId w:val="28"/>
        </w:numPr>
        <w:rPr>
          <w:rFonts w:ascii="Wingdings" w:cs="Wingdings" w:eastAsia="Wingdings" w:hAnsi="Wingdings"/>
          <w:sz w:val="31"/>
          <w:szCs w:val="31"/>
          <w:b w:val="1"/>
          <w:bCs w:val="1"/>
          <w:color w:val="auto"/>
          <w:vertAlign w:val="superscript"/>
          <w:shd w:val="clear" w:color="auto" w:fill="C43776"/>
        </w:rPr>
      </w:pPr>
      <w:r>
        <w:rPr>
          <w:rFonts w:ascii="Arial" w:cs="Arial" w:eastAsia="Arial" w:hAnsi="Arial"/>
          <w:sz w:val="13"/>
          <w:szCs w:val="13"/>
          <w:color w:val="auto"/>
        </w:rPr>
        <w:t>equity-based incentives are denominated in common shares</w:t>
      </w:r>
    </w:p>
    <w:p>
      <w:pPr>
        <w:spacing w:after="0" w:line="229" w:lineRule="exact"/>
        <w:rPr>
          <w:rFonts w:ascii="Wingdings" w:cs="Wingdings" w:eastAsia="Wingdings" w:hAnsi="Wingdings"/>
          <w:sz w:val="31"/>
          <w:szCs w:val="31"/>
          <w:b w:val="1"/>
          <w:bCs w:val="1"/>
          <w:color w:val="auto"/>
          <w:vertAlign w:val="superscript"/>
          <w:shd w:val="clear" w:color="auto" w:fill="C43776"/>
        </w:rPr>
      </w:pPr>
    </w:p>
    <w:p>
      <w:pPr>
        <w:ind w:left="520"/>
        <w:spacing w:after="0"/>
        <w:rPr>
          <w:rFonts w:ascii="Wingdings" w:cs="Wingdings" w:eastAsia="Wingdings" w:hAnsi="Wingdings"/>
          <w:sz w:val="31"/>
          <w:szCs w:val="31"/>
          <w:b w:val="1"/>
          <w:bCs w:val="1"/>
          <w:color w:val="auto"/>
          <w:vertAlign w:val="superscript"/>
          <w:shd w:val="clear" w:color="auto" w:fill="C43776"/>
        </w:rPr>
      </w:pPr>
      <w:r>
        <w:rPr>
          <w:rFonts w:ascii="Arial" w:cs="Arial" w:eastAsia="Arial" w:hAnsi="Arial"/>
          <w:sz w:val="14"/>
          <w:szCs w:val="14"/>
          <w:color w:val="auto"/>
        </w:rPr>
        <w:t>Significant portion of target total compensation is delivered in the form of</w:t>
      </w:r>
    </w:p>
    <w:p>
      <w:pPr>
        <w:spacing w:after="0" w:line="15" w:lineRule="exact"/>
        <w:rPr>
          <w:rFonts w:ascii="Wingdings" w:cs="Wingdings" w:eastAsia="Wingdings" w:hAnsi="Wingdings"/>
          <w:sz w:val="31"/>
          <w:szCs w:val="31"/>
          <w:b w:val="1"/>
          <w:bCs w:val="1"/>
          <w:color w:val="auto"/>
          <w:vertAlign w:val="superscript"/>
          <w:shd w:val="clear" w:color="auto" w:fill="C43776"/>
        </w:rPr>
      </w:pPr>
    </w:p>
    <w:p>
      <w:pPr>
        <w:ind w:left="520" w:right="80" w:hanging="306"/>
        <w:spacing w:after="0" w:line="248" w:lineRule="auto"/>
        <w:tabs>
          <w:tab w:leader="none" w:pos="520" w:val="left"/>
        </w:tabs>
        <w:numPr>
          <w:ilvl w:val="0"/>
          <w:numId w:val="28"/>
        </w:numPr>
        <w:rPr>
          <w:rFonts w:ascii="Wingdings" w:cs="Wingdings" w:eastAsia="Wingdings" w:hAnsi="Wingdings"/>
          <w:sz w:val="36"/>
          <w:szCs w:val="36"/>
          <w:b w:val="1"/>
          <w:bCs w:val="1"/>
          <w:color w:val="auto"/>
          <w:vertAlign w:val="superscript"/>
          <w:shd w:val="clear" w:color="auto" w:fill="C43776"/>
        </w:rPr>
      </w:pPr>
      <w:r>
        <w:rPr>
          <w:rFonts w:ascii="Arial" w:cs="Arial" w:eastAsia="Arial" w:hAnsi="Arial"/>
          <w:sz w:val="14"/>
          <w:szCs w:val="14"/>
          <w:color w:val="auto"/>
        </w:rPr>
        <w:t>equity awards, which is directly aligned with shareholder value creation Significant portion of NEO pay is tied to performance objectives that align</w:t>
      </w:r>
    </w:p>
    <w:p>
      <w:pPr>
        <w:spacing w:after="0" w:line="1" w:lineRule="exact"/>
        <w:rPr>
          <w:rFonts w:ascii="Wingdings" w:cs="Wingdings" w:eastAsia="Wingdings" w:hAnsi="Wingdings"/>
          <w:sz w:val="36"/>
          <w:szCs w:val="36"/>
          <w:b w:val="1"/>
          <w:bCs w:val="1"/>
          <w:color w:val="auto"/>
          <w:vertAlign w:val="superscript"/>
          <w:shd w:val="clear" w:color="auto" w:fill="C43776"/>
        </w:rPr>
      </w:pPr>
    </w:p>
    <w:p>
      <w:pPr>
        <w:ind w:left="520" w:hanging="306"/>
        <w:spacing w:after="0" w:line="181" w:lineRule="auto"/>
        <w:tabs>
          <w:tab w:leader="none" w:pos="520" w:val="left"/>
        </w:tabs>
        <w:numPr>
          <w:ilvl w:val="0"/>
          <w:numId w:val="28"/>
        </w:numPr>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1"/>
          <w:szCs w:val="11"/>
          <w:color w:val="auto"/>
        </w:rPr>
        <w:t>with our business strategy</w:t>
      </w:r>
    </w:p>
    <w:p>
      <w:pPr>
        <w:spacing w:after="0" w:line="228" w:lineRule="exact"/>
        <w:rPr>
          <w:rFonts w:ascii="Wingdings" w:cs="Wingdings" w:eastAsia="Wingdings" w:hAnsi="Wingdings"/>
          <w:sz w:val="21"/>
          <w:szCs w:val="21"/>
          <w:b w:val="1"/>
          <w:bCs w:val="1"/>
          <w:color w:val="auto"/>
          <w:vertAlign w:val="superscript"/>
          <w:shd w:val="clear" w:color="auto" w:fill="C43776"/>
        </w:rPr>
      </w:pPr>
    </w:p>
    <w:p>
      <w:pPr>
        <w:ind w:left="520"/>
        <w:spacing w:after="0"/>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4"/>
          <w:szCs w:val="14"/>
          <w:color w:val="auto"/>
        </w:rPr>
        <w:t>Compensation committee reserves discretion to reduce Annual Bonus</w:t>
      </w:r>
    </w:p>
    <w:p>
      <w:pPr>
        <w:spacing w:after="0" w:line="15" w:lineRule="exact"/>
        <w:rPr>
          <w:rFonts w:ascii="Wingdings" w:cs="Wingdings" w:eastAsia="Wingdings" w:hAnsi="Wingdings"/>
          <w:sz w:val="21"/>
          <w:szCs w:val="21"/>
          <w:b w:val="1"/>
          <w:bCs w:val="1"/>
          <w:color w:val="auto"/>
          <w:vertAlign w:val="superscript"/>
          <w:shd w:val="clear" w:color="auto" w:fill="C43776"/>
        </w:rPr>
      </w:pPr>
    </w:p>
    <w:p>
      <w:pPr>
        <w:ind w:left="520" w:right="100" w:hanging="306"/>
        <w:spacing w:after="0" w:line="248" w:lineRule="auto"/>
        <w:tabs>
          <w:tab w:leader="none" w:pos="520" w:val="left"/>
        </w:tabs>
        <w:numPr>
          <w:ilvl w:val="0"/>
          <w:numId w:val="28"/>
        </w:numPr>
        <w:rPr>
          <w:rFonts w:ascii="Wingdings" w:cs="Wingdings" w:eastAsia="Wingdings" w:hAnsi="Wingdings"/>
          <w:sz w:val="36"/>
          <w:szCs w:val="36"/>
          <w:b w:val="1"/>
          <w:bCs w:val="1"/>
          <w:color w:val="auto"/>
          <w:vertAlign w:val="superscript"/>
          <w:shd w:val="clear" w:color="auto" w:fill="C43776"/>
        </w:rPr>
      </w:pPr>
      <w:r>
        <w:rPr>
          <w:rFonts w:ascii="Arial" w:cs="Arial" w:eastAsia="Arial" w:hAnsi="Arial"/>
          <w:sz w:val="14"/>
          <w:szCs w:val="14"/>
          <w:color w:val="auto"/>
        </w:rPr>
        <w:t>Equity Incentive payouts in light of overall Company performance Annual equity run rate and overhang are consistent with typical practices</w:t>
      </w:r>
    </w:p>
    <w:p>
      <w:pPr>
        <w:spacing w:after="0" w:line="1" w:lineRule="exact"/>
        <w:rPr>
          <w:rFonts w:ascii="Wingdings" w:cs="Wingdings" w:eastAsia="Wingdings" w:hAnsi="Wingdings"/>
          <w:sz w:val="36"/>
          <w:szCs w:val="36"/>
          <w:b w:val="1"/>
          <w:bCs w:val="1"/>
          <w:color w:val="auto"/>
          <w:vertAlign w:val="superscript"/>
          <w:shd w:val="clear" w:color="auto" w:fill="C43776"/>
        </w:rPr>
      </w:pPr>
    </w:p>
    <w:p>
      <w:pPr>
        <w:ind w:left="520" w:hanging="306"/>
        <w:spacing w:after="0" w:line="181" w:lineRule="auto"/>
        <w:tabs>
          <w:tab w:leader="none" w:pos="520" w:val="left"/>
        </w:tabs>
        <w:numPr>
          <w:ilvl w:val="0"/>
          <w:numId w:val="28"/>
        </w:numPr>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1"/>
          <w:szCs w:val="11"/>
          <w:color w:val="auto"/>
        </w:rPr>
        <w:t>among similarly situated companies</w:t>
      </w:r>
    </w:p>
    <w:p>
      <w:pPr>
        <w:spacing w:after="0" w:line="228" w:lineRule="exact"/>
        <w:rPr>
          <w:rFonts w:ascii="Wingdings" w:cs="Wingdings" w:eastAsia="Wingdings" w:hAnsi="Wingdings"/>
          <w:sz w:val="21"/>
          <w:szCs w:val="21"/>
          <w:b w:val="1"/>
          <w:bCs w:val="1"/>
          <w:color w:val="auto"/>
          <w:vertAlign w:val="superscript"/>
          <w:shd w:val="clear" w:color="auto" w:fill="C43776"/>
        </w:rPr>
      </w:pPr>
    </w:p>
    <w:p>
      <w:pPr>
        <w:ind w:left="520"/>
        <w:spacing w:after="0"/>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4"/>
          <w:szCs w:val="14"/>
          <w:color w:val="auto"/>
        </w:rPr>
        <w:t>NEO incentives are tied to Company-wide initiatives and/or division</w:t>
      </w:r>
    </w:p>
    <w:p>
      <w:pPr>
        <w:spacing w:after="0" w:line="15" w:lineRule="exact"/>
        <w:rPr>
          <w:rFonts w:ascii="Wingdings" w:cs="Wingdings" w:eastAsia="Wingdings" w:hAnsi="Wingdings"/>
          <w:sz w:val="21"/>
          <w:szCs w:val="21"/>
          <w:b w:val="1"/>
          <w:bCs w:val="1"/>
          <w:color w:val="auto"/>
          <w:vertAlign w:val="superscript"/>
          <w:shd w:val="clear" w:color="auto" w:fill="C43776"/>
        </w:rPr>
      </w:pPr>
    </w:p>
    <w:p>
      <w:pPr>
        <w:ind w:left="520" w:hanging="306"/>
        <w:spacing w:after="0" w:line="181" w:lineRule="auto"/>
        <w:tabs>
          <w:tab w:leader="none" w:pos="520" w:val="left"/>
        </w:tabs>
        <w:numPr>
          <w:ilvl w:val="0"/>
          <w:numId w:val="28"/>
        </w:numPr>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1"/>
          <w:szCs w:val="11"/>
          <w:color w:val="auto"/>
        </w:rPr>
        <w:t>objectives within such NEO’s control</w:t>
      </w:r>
    </w:p>
    <w:p>
      <w:pPr>
        <w:spacing w:after="0" w:line="195" w:lineRule="exact"/>
        <w:rPr>
          <w:rFonts w:ascii="Wingdings" w:cs="Wingdings" w:eastAsia="Wingdings" w:hAnsi="Wingdings"/>
          <w:sz w:val="21"/>
          <w:szCs w:val="21"/>
          <w:b w:val="1"/>
          <w:bCs w:val="1"/>
          <w:color w:val="auto"/>
          <w:vertAlign w:val="superscript"/>
          <w:shd w:val="clear" w:color="auto" w:fill="C43776"/>
        </w:rPr>
      </w:pPr>
    </w:p>
    <w:p>
      <w:pPr>
        <w:ind w:left="520" w:right="200" w:hanging="306"/>
        <w:spacing w:after="0" w:line="375" w:lineRule="auto"/>
        <w:tabs>
          <w:tab w:leader="none" w:pos="520" w:val="left"/>
        </w:tabs>
        <w:numPr>
          <w:ilvl w:val="0"/>
          <w:numId w:val="28"/>
        </w:numPr>
        <w:rPr>
          <w:rFonts w:ascii="Wingdings" w:cs="Wingdings" w:eastAsia="Wingdings" w:hAnsi="Wingdings"/>
          <w:sz w:val="32"/>
          <w:szCs w:val="32"/>
          <w:b w:val="1"/>
          <w:bCs w:val="1"/>
          <w:color w:val="auto"/>
          <w:vertAlign w:val="subscript"/>
          <w:shd w:val="clear" w:color="auto" w:fill="C43776"/>
        </w:rPr>
      </w:pPr>
      <w:r>
        <w:rPr>
          <w:rFonts w:ascii="Arial" w:cs="Arial" w:eastAsia="Arial" w:hAnsi="Arial"/>
          <w:sz w:val="13"/>
          <w:szCs w:val="13"/>
          <w:color w:val="auto"/>
        </w:rPr>
        <w:t>Severance</w:t>
      </w:r>
      <w:r>
        <w:rPr>
          <w:rFonts w:ascii="Arial" w:cs="Arial" w:eastAsia="Arial" w:hAnsi="Arial"/>
          <w:sz w:val="25"/>
          <w:szCs w:val="25"/>
          <w:color w:val="auto"/>
          <w:vertAlign w:val="subscript"/>
        </w:rPr>
        <w:t>practices</w:t>
      </w:r>
      <w:r>
        <w:rPr>
          <w:rFonts w:ascii="Arial" w:cs="Arial" w:eastAsia="Arial" w:hAnsi="Arial"/>
          <w:sz w:val="13"/>
          <w:szCs w:val="13"/>
          <w:color w:val="auto"/>
        </w:rPr>
        <w:t xml:space="preserve"> benefit levels for executives are below general market Maintain a compensation clawback policy that exceeds the Dodd-Frank</w:t>
      </w:r>
    </w:p>
    <w:p>
      <w:pPr>
        <w:spacing w:after="0" w:line="1" w:lineRule="exact"/>
        <w:rPr>
          <w:rFonts w:ascii="Wingdings" w:cs="Wingdings" w:eastAsia="Wingdings" w:hAnsi="Wingdings"/>
          <w:sz w:val="32"/>
          <w:szCs w:val="32"/>
          <w:b w:val="1"/>
          <w:bCs w:val="1"/>
          <w:color w:val="auto"/>
          <w:vertAlign w:val="subscript"/>
          <w:shd w:val="clear" w:color="auto" w:fill="C43776"/>
        </w:rPr>
      </w:pPr>
    </w:p>
    <w:p>
      <w:pPr>
        <w:ind w:left="520" w:hanging="306"/>
        <w:spacing w:after="0" w:line="181" w:lineRule="auto"/>
        <w:tabs>
          <w:tab w:leader="none" w:pos="520" w:val="left"/>
        </w:tabs>
        <w:numPr>
          <w:ilvl w:val="0"/>
          <w:numId w:val="28"/>
        </w:numPr>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1"/>
          <w:szCs w:val="11"/>
          <w:color w:val="auto"/>
        </w:rPr>
        <w:t>Act requirements by extending to executive misconduct</w:t>
      </w:r>
    </w:p>
    <w:p>
      <w:pPr>
        <w:spacing w:after="0" w:line="228" w:lineRule="exact"/>
        <w:rPr>
          <w:rFonts w:ascii="Wingdings" w:cs="Wingdings" w:eastAsia="Wingdings" w:hAnsi="Wingdings"/>
          <w:sz w:val="21"/>
          <w:szCs w:val="21"/>
          <w:b w:val="1"/>
          <w:bCs w:val="1"/>
          <w:color w:val="auto"/>
          <w:vertAlign w:val="superscript"/>
          <w:shd w:val="clear" w:color="auto" w:fill="C43776"/>
        </w:rPr>
      </w:pPr>
    </w:p>
    <w:p>
      <w:pPr>
        <w:ind w:left="520"/>
        <w:spacing w:after="0"/>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4"/>
          <w:szCs w:val="14"/>
          <w:color w:val="auto"/>
        </w:rPr>
        <w:t>We monitor and build risk-mitigation features into our compensation</w:t>
      </w:r>
    </w:p>
    <w:p>
      <w:pPr>
        <w:spacing w:after="0" w:line="15" w:lineRule="exact"/>
        <w:rPr>
          <w:rFonts w:ascii="Wingdings" w:cs="Wingdings" w:eastAsia="Wingdings" w:hAnsi="Wingdings"/>
          <w:sz w:val="21"/>
          <w:szCs w:val="21"/>
          <w:b w:val="1"/>
          <w:bCs w:val="1"/>
          <w:color w:val="auto"/>
          <w:vertAlign w:val="superscript"/>
          <w:shd w:val="clear" w:color="auto" w:fill="C43776"/>
        </w:rPr>
      </w:pPr>
    </w:p>
    <w:p>
      <w:pPr>
        <w:ind w:left="520" w:hanging="306"/>
        <w:spacing w:after="0" w:line="181" w:lineRule="auto"/>
        <w:tabs>
          <w:tab w:leader="none" w:pos="520" w:val="left"/>
        </w:tabs>
        <w:numPr>
          <w:ilvl w:val="0"/>
          <w:numId w:val="28"/>
        </w:numPr>
        <w:rPr>
          <w:rFonts w:ascii="Wingdings" w:cs="Wingdings" w:eastAsia="Wingdings" w:hAnsi="Wingdings"/>
          <w:sz w:val="21"/>
          <w:szCs w:val="21"/>
          <w:b w:val="1"/>
          <w:bCs w:val="1"/>
          <w:color w:val="auto"/>
          <w:vertAlign w:val="superscript"/>
          <w:shd w:val="clear" w:color="auto" w:fill="C43776"/>
        </w:rPr>
      </w:pPr>
      <w:r>
        <w:rPr>
          <w:rFonts w:ascii="Arial" w:cs="Arial" w:eastAsia="Arial" w:hAnsi="Arial"/>
          <w:sz w:val="11"/>
          <w:szCs w:val="11"/>
          <w:color w:val="auto"/>
        </w:rPr>
        <w:t>programs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280" w:right="260" w:hanging="280"/>
        <w:spacing w:after="0" w:line="188" w:lineRule="auto"/>
        <w:tabs>
          <w:tab w:leader="none" w:pos="280" w:val="left"/>
        </w:tabs>
        <w:numPr>
          <w:ilvl w:val="0"/>
          <w:numId w:val="29"/>
        </w:numPr>
        <w:rPr>
          <w:rFonts w:ascii="Arial" w:cs="Arial" w:eastAsia="Arial" w:hAnsi="Arial"/>
          <w:sz w:val="26"/>
          <w:szCs w:val="26"/>
          <w:b w:val="1"/>
          <w:bCs w:val="1"/>
          <w:color w:val="582D43"/>
          <w:vertAlign w:val="subscript"/>
        </w:rPr>
      </w:pPr>
      <w:r>
        <w:rPr>
          <w:rFonts w:ascii="Arial" w:cs="Arial" w:eastAsia="Arial" w:hAnsi="Arial"/>
          <w:sz w:val="13"/>
          <w:szCs w:val="13"/>
          <w:color w:val="auto"/>
        </w:rPr>
        <w:t>Directors and executives are prohibited from hedging or pledging common shares</w:t>
      </w:r>
    </w:p>
    <w:p>
      <w:pPr>
        <w:spacing w:after="0" w:line="229" w:lineRule="exact"/>
        <w:rPr>
          <w:rFonts w:ascii="Arial" w:cs="Arial" w:eastAsia="Arial" w:hAnsi="Arial"/>
          <w:sz w:val="26"/>
          <w:szCs w:val="26"/>
          <w:b w:val="1"/>
          <w:bCs w:val="1"/>
          <w:color w:val="582D43"/>
          <w:vertAlign w:val="subscript"/>
        </w:rPr>
      </w:pPr>
    </w:p>
    <w:p>
      <w:pPr>
        <w:jc w:val="both"/>
        <w:ind w:left="280" w:right="280" w:hanging="280"/>
        <w:spacing w:after="0" w:line="188" w:lineRule="auto"/>
        <w:tabs>
          <w:tab w:leader="none" w:pos="280" w:val="left"/>
        </w:tabs>
        <w:numPr>
          <w:ilvl w:val="0"/>
          <w:numId w:val="29"/>
        </w:numPr>
        <w:rPr>
          <w:rFonts w:ascii="Arial" w:cs="Arial" w:eastAsia="Arial" w:hAnsi="Arial"/>
          <w:sz w:val="26"/>
          <w:szCs w:val="26"/>
          <w:b w:val="1"/>
          <w:bCs w:val="1"/>
          <w:color w:val="582D43"/>
          <w:vertAlign w:val="subscript"/>
        </w:rPr>
      </w:pPr>
      <w:r>
        <w:rPr>
          <w:rFonts w:ascii="Arial" w:cs="Arial" w:eastAsia="Arial" w:hAnsi="Arial"/>
          <w:sz w:val="13"/>
          <w:szCs w:val="13"/>
          <w:color w:val="auto"/>
        </w:rPr>
        <w:t>No repricing or cashing out of underwater stock options or stock appreciation rights</w:t>
      </w:r>
    </w:p>
    <w:p>
      <w:pPr>
        <w:spacing w:after="0" w:line="310" w:lineRule="exact"/>
        <w:rPr>
          <w:rFonts w:ascii="Arial" w:cs="Arial" w:eastAsia="Arial" w:hAnsi="Arial"/>
          <w:sz w:val="26"/>
          <w:szCs w:val="26"/>
          <w:b w:val="1"/>
          <w:bCs w:val="1"/>
          <w:color w:val="582D43"/>
          <w:vertAlign w:val="subscript"/>
        </w:rPr>
      </w:pPr>
    </w:p>
    <w:p>
      <w:pPr>
        <w:ind w:left="280" w:hanging="280"/>
        <w:spacing w:after="0"/>
        <w:tabs>
          <w:tab w:leader="none" w:pos="280" w:val="left"/>
        </w:tabs>
        <w:numPr>
          <w:ilvl w:val="0"/>
          <w:numId w:val="29"/>
        </w:numPr>
        <w:rPr>
          <w:rFonts w:ascii="Arial" w:cs="Arial" w:eastAsia="Arial" w:hAnsi="Arial"/>
          <w:sz w:val="14"/>
          <w:szCs w:val="14"/>
          <w:b w:val="1"/>
          <w:bCs w:val="1"/>
          <w:color w:val="582D43"/>
        </w:rPr>
      </w:pPr>
      <w:r>
        <w:rPr>
          <w:rFonts w:ascii="Arial" w:cs="Arial" w:eastAsia="Arial" w:hAnsi="Arial"/>
          <w:sz w:val="14"/>
          <w:szCs w:val="14"/>
          <w:color w:val="auto"/>
        </w:rPr>
        <w:t>No excise tax gross-ups</w:t>
      </w:r>
    </w:p>
    <w:p>
      <w:pPr>
        <w:spacing w:after="0" w:line="338" w:lineRule="exact"/>
        <w:rPr>
          <w:rFonts w:ascii="Arial" w:cs="Arial" w:eastAsia="Arial" w:hAnsi="Arial"/>
          <w:sz w:val="14"/>
          <w:szCs w:val="14"/>
          <w:b w:val="1"/>
          <w:bCs w:val="1"/>
          <w:color w:val="582D43"/>
        </w:rPr>
      </w:pPr>
    </w:p>
    <w:p>
      <w:pPr>
        <w:ind w:left="280" w:right="660" w:hanging="280"/>
        <w:spacing w:after="0" w:line="188" w:lineRule="auto"/>
        <w:tabs>
          <w:tab w:leader="none" w:pos="280" w:val="left"/>
        </w:tabs>
        <w:numPr>
          <w:ilvl w:val="0"/>
          <w:numId w:val="29"/>
        </w:numPr>
        <w:rPr>
          <w:rFonts w:ascii="Arial" w:cs="Arial" w:eastAsia="Arial" w:hAnsi="Arial"/>
          <w:sz w:val="26"/>
          <w:szCs w:val="26"/>
          <w:b w:val="1"/>
          <w:bCs w:val="1"/>
          <w:color w:val="582D43"/>
          <w:vertAlign w:val="subscript"/>
        </w:rPr>
      </w:pPr>
      <w:r>
        <w:rPr>
          <w:rFonts w:ascii="Arial" w:cs="Arial" w:eastAsia="Arial" w:hAnsi="Arial"/>
          <w:sz w:val="13"/>
          <w:szCs w:val="13"/>
          <w:color w:val="auto"/>
        </w:rPr>
        <w:t>No current payment of dividends on unvested equity awards</w:t>
      </w:r>
    </w:p>
    <w:p>
      <w:pPr>
        <w:spacing w:after="0" w:line="3102" w:lineRule="exact"/>
        <w:rPr>
          <w:sz w:val="20"/>
          <w:szCs w:val="20"/>
          <w:color w:val="auto"/>
        </w:rPr>
      </w:pPr>
    </w:p>
    <w:p>
      <w:pPr>
        <w:sectPr>
          <w:pgSz w:w="11900" w:h="16838" w:orient="portrait"/>
          <w:cols w:equalWidth="0" w:num="2">
            <w:col w:w="5240" w:space="640"/>
            <w:col w:w="3200"/>
          </w:cols>
          <w:pgMar w:left="1400" w:top="729"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27</w:t>
      </w:r>
    </w:p>
    <w:p>
      <w:pPr>
        <w:sectPr>
          <w:pgSz w:w="11900" w:h="16838" w:orient="portrait"/>
          <w:cols w:equalWidth="0" w:num="1">
            <w:col w:w="9080"/>
          </w:cols>
          <w:pgMar w:left="1400" w:top="729" w:right="1419" w:bottom="1440" w:gutter="0" w:footer="0" w:header="0"/>
          <w:type w:val="continuous"/>
        </w:sectPr>
      </w:pPr>
    </w:p>
    <w:bookmarkStart w:id="33" w:name="page34"/>
    <w:bookmarkEnd w:id="33"/>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140"/>
        <w:spacing w:after="0" w:line="295" w:lineRule="auto"/>
        <w:rPr>
          <w:sz w:val="20"/>
          <w:szCs w:val="20"/>
          <w:color w:val="auto"/>
        </w:rPr>
      </w:pPr>
      <w:r>
        <w:rPr>
          <w:rFonts w:ascii="Arial" w:cs="Arial" w:eastAsia="Arial" w:hAnsi="Arial"/>
          <w:sz w:val="32"/>
          <w:szCs w:val="32"/>
          <w:color w:val="C43776"/>
        </w:rPr>
        <w:t>Components of Compensation and Target Direct Compensation Mix</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key elements of our 2025 NEO compensation programs: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00" w:type="dxa"/>
            <w:vAlign w:val="bottom"/>
            <w:shd w:val="clear" w:color="auto" w:fill="C43776"/>
          </w:tcPr>
          <w:p>
            <w:pPr>
              <w:spacing w:after="0"/>
              <w:rPr>
                <w:sz w:val="24"/>
                <w:szCs w:val="24"/>
                <w:color w:val="auto"/>
              </w:rPr>
            </w:pPr>
          </w:p>
        </w:tc>
        <w:tc>
          <w:tcPr>
            <w:tcW w:w="174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What We Pay</w:t>
            </w:r>
          </w:p>
        </w:tc>
        <w:tc>
          <w:tcPr>
            <w:tcW w:w="3220" w:type="dxa"/>
            <w:vAlign w:val="bottom"/>
            <w:shd w:val="clear" w:color="auto" w:fill="C43776"/>
          </w:tcPr>
          <w:p>
            <w:pPr>
              <w:ind w:left="400"/>
              <w:spacing w:after="0"/>
              <w:rPr>
                <w:sz w:val="20"/>
                <w:szCs w:val="20"/>
                <w:color w:val="auto"/>
              </w:rPr>
            </w:pPr>
            <w:r>
              <w:rPr>
                <w:rFonts w:ascii="Arial" w:cs="Arial" w:eastAsia="Arial" w:hAnsi="Arial"/>
                <w:sz w:val="14"/>
                <w:szCs w:val="14"/>
                <w:b w:val="1"/>
                <w:bCs w:val="1"/>
                <w:color w:val="FFFFFF"/>
              </w:rPr>
              <w:t>Why We Pay It</w:t>
            </w:r>
          </w:p>
        </w:tc>
        <w:tc>
          <w:tcPr>
            <w:tcW w:w="4020" w:type="dxa"/>
            <w:vAlign w:val="bottom"/>
            <w:gridSpan w:val="2"/>
            <w:shd w:val="clear" w:color="auto" w:fill="C43776"/>
          </w:tcPr>
          <w:p>
            <w:pPr>
              <w:ind w:left="26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94"/>
        </w:trPr>
        <w:tc>
          <w:tcPr>
            <w:tcW w:w="100" w:type="dxa"/>
            <w:vAlign w:val="bottom"/>
            <w:shd w:val="clear" w:color="auto" w:fill="C43776"/>
          </w:tcPr>
          <w:p>
            <w:pPr>
              <w:spacing w:after="0"/>
              <w:rPr>
                <w:sz w:val="8"/>
                <w:szCs w:val="8"/>
                <w:color w:val="auto"/>
              </w:rPr>
            </w:pPr>
          </w:p>
        </w:tc>
        <w:tc>
          <w:tcPr>
            <w:tcW w:w="1740" w:type="dxa"/>
            <w:vAlign w:val="bottom"/>
            <w:shd w:val="clear" w:color="auto" w:fill="C43776"/>
          </w:tcPr>
          <w:p>
            <w:pPr>
              <w:spacing w:after="0"/>
              <w:rPr>
                <w:sz w:val="8"/>
                <w:szCs w:val="8"/>
                <w:color w:val="auto"/>
              </w:rPr>
            </w:pPr>
          </w:p>
        </w:tc>
        <w:tc>
          <w:tcPr>
            <w:tcW w:w="3220" w:type="dxa"/>
            <w:vAlign w:val="bottom"/>
            <w:shd w:val="clear" w:color="auto" w:fill="C43776"/>
          </w:tcPr>
          <w:p>
            <w:pPr>
              <w:spacing w:after="0"/>
              <w:rPr>
                <w:sz w:val="8"/>
                <w:szCs w:val="8"/>
                <w:color w:val="auto"/>
              </w:rPr>
            </w:pPr>
          </w:p>
        </w:tc>
        <w:tc>
          <w:tcPr>
            <w:tcW w:w="400" w:type="dxa"/>
            <w:vAlign w:val="bottom"/>
            <w:shd w:val="clear" w:color="auto" w:fill="C43776"/>
          </w:tcPr>
          <w:p>
            <w:pPr>
              <w:spacing w:after="0"/>
              <w:rPr>
                <w:sz w:val="8"/>
                <w:szCs w:val="8"/>
                <w:color w:val="auto"/>
              </w:rPr>
            </w:pPr>
          </w:p>
        </w:tc>
        <w:tc>
          <w:tcPr>
            <w:tcW w:w="362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20" w:type="dxa"/>
            <w:vAlign w:val="bottom"/>
          </w:tcPr>
          <w:p>
            <w:pPr>
              <w:ind w:left="400"/>
              <w:spacing w:after="0"/>
              <w:rPr>
                <w:sz w:val="20"/>
                <w:szCs w:val="20"/>
                <w:color w:val="auto"/>
              </w:rPr>
            </w:pPr>
            <w:r>
              <w:rPr>
                <w:rFonts w:ascii="Arial" w:cs="Arial" w:eastAsia="Arial" w:hAnsi="Arial"/>
                <w:sz w:val="14"/>
                <w:szCs w:val="14"/>
                <w:color w:val="auto"/>
              </w:rPr>
              <w:t>Attract and retain high-performing</w:t>
            </w:r>
          </w:p>
        </w:tc>
        <w:tc>
          <w:tcPr>
            <w:tcW w:w="400" w:type="dxa"/>
            <w:vAlign w:val="bottom"/>
          </w:tcPr>
          <w:p>
            <w:pPr>
              <w:ind w:left="260"/>
              <w:spacing w:after="0"/>
              <w:rPr>
                <w:sz w:val="20"/>
                <w:szCs w:val="20"/>
                <w:color w:val="auto"/>
              </w:rPr>
            </w:pPr>
            <w:r>
              <w:rPr>
                <w:rFonts w:ascii="Arial" w:cs="Arial" w:eastAsia="Arial" w:hAnsi="Arial"/>
                <w:sz w:val="11"/>
                <w:szCs w:val="11"/>
                <w:color w:val="BE1549"/>
              </w:rPr>
              <w:t>•</w:t>
            </w:r>
          </w:p>
        </w:tc>
        <w:tc>
          <w:tcPr>
            <w:tcW w:w="3620" w:type="dxa"/>
            <w:vAlign w:val="bottom"/>
          </w:tcPr>
          <w:p>
            <w:pPr>
              <w:ind w:left="100"/>
              <w:spacing w:after="0"/>
              <w:rPr>
                <w:sz w:val="20"/>
                <w:szCs w:val="20"/>
                <w:color w:val="auto"/>
              </w:rPr>
            </w:pPr>
            <w:r>
              <w:rPr>
                <w:rFonts w:ascii="Arial" w:cs="Arial" w:eastAsia="Arial" w:hAnsi="Arial"/>
                <w:sz w:val="14"/>
                <w:szCs w:val="14"/>
                <w:color w:val="auto"/>
              </w:rPr>
              <w:t>Established after consideration of peer practices and</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Base Salary</w:t>
            </w:r>
          </w:p>
        </w:tc>
        <w:tc>
          <w:tcPr>
            <w:tcW w:w="3220" w:type="dxa"/>
            <w:vAlign w:val="bottom"/>
          </w:tcPr>
          <w:p>
            <w:pPr>
              <w:ind w:left="400"/>
              <w:spacing w:after="0"/>
              <w:rPr>
                <w:sz w:val="20"/>
                <w:szCs w:val="20"/>
                <w:color w:val="auto"/>
              </w:rPr>
            </w:pPr>
            <w:r>
              <w:rPr>
                <w:rFonts w:ascii="Arial" w:cs="Arial" w:eastAsia="Arial" w:hAnsi="Arial"/>
                <w:sz w:val="14"/>
                <w:szCs w:val="14"/>
                <w:color w:val="auto"/>
              </w:rPr>
              <w:t>executives by providing a secure and</w:t>
            </w:r>
          </w:p>
        </w:tc>
        <w:tc>
          <w:tcPr>
            <w:tcW w:w="400" w:type="dxa"/>
            <w:vAlign w:val="bottom"/>
          </w:tcPr>
          <w:p>
            <w:pPr>
              <w:spacing w:after="0"/>
              <w:rPr>
                <w:sz w:val="15"/>
                <w:szCs w:val="15"/>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internal equity; reviewed annually and subject 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20" w:type="dxa"/>
            <w:vAlign w:val="bottom"/>
          </w:tcPr>
          <w:p>
            <w:pPr>
              <w:ind w:left="400"/>
              <w:spacing w:after="0"/>
              <w:rPr>
                <w:sz w:val="20"/>
                <w:szCs w:val="20"/>
                <w:color w:val="auto"/>
              </w:rPr>
            </w:pPr>
            <w:r>
              <w:rPr>
                <w:rFonts w:ascii="Arial" w:cs="Arial" w:eastAsia="Arial" w:hAnsi="Arial"/>
                <w:sz w:val="14"/>
                <w:szCs w:val="14"/>
                <w:color w:val="auto"/>
              </w:rPr>
              <w:t>appropriate level of base pay</w:t>
            </w:r>
          </w:p>
        </w:tc>
        <w:tc>
          <w:tcPr>
            <w:tcW w:w="400" w:type="dxa"/>
            <w:vAlign w:val="bottom"/>
          </w:tcPr>
          <w:p>
            <w:pPr>
              <w:spacing w:after="0"/>
              <w:rPr>
                <w:sz w:val="16"/>
                <w:szCs w:val="16"/>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adjustment</w:t>
            </w: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6"/>
        </w:trPr>
        <w:tc>
          <w:tcPr>
            <w:tcW w:w="100" w:type="dxa"/>
            <w:vAlign w:val="bottom"/>
            <w:shd w:val="clear" w:color="auto" w:fill="F1F2F2"/>
          </w:tcPr>
          <w:p>
            <w:pPr>
              <w:spacing w:after="0"/>
              <w:rPr>
                <w:sz w:val="24"/>
                <w:szCs w:val="24"/>
                <w:color w:val="auto"/>
              </w:rPr>
            </w:pPr>
          </w:p>
        </w:tc>
        <w:tc>
          <w:tcPr>
            <w:tcW w:w="1740" w:type="dxa"/>
            <w:vAlign w:val="bottom"/>
            <w:shd w:val="clear" w:color="auto" w:fill="F1F2F2"/>
          </w:tcPr>
          <w:p>
            <w:pPr>
              <w:spacing w:after="0"/>
              <w:rPr>
                <w:sz w:val="24"/>
                <w:szCs w:val="24"/>
                <w:color w:val="auto"/>
              </w:rPr>
            </w:pPr>
          </w:p>
        </w:tc>
        <w:tc>
          <w:tcPr>
            <w:tcW w:w="3220" w:type="dxa"/>
            <w:vAlign w:val="bottom"/>
            <w:shd w:val="clear" w:color="auto" w:fill="F1F2F2"/>
          </w:tcPr>
          <w:p>
            <w:pPr>
              <w:spacing w:after="0"/>
              <w:rPr>
                <w:sz w:val="24"/>
                <w:szCs w:val="24"/>
                <w:color w:val="auto"/>
              </w:rPr>
            </w:pPr>
          </w:p>
        </w:tc>
        <w:tc>
          <w:tcPr>
            <w:tcW w:w="400" w:type="dxa"/>
            <w:vAlign w:val="bottom"/>
            <w:shd w:val="clear" w:color="auto" w:fill="F1F2F2"/>
          </w:tcPr>
          <w:p>
            <w:pPr>
              <w:ind w:left="260"/>
              <w:spacing w:after="0"/>
              <w:rPr>
                <w:sz w:val="20"/>
                <w:szCs w:val="20"/>
                <w:color w:val="auto"/>
              </w:rPr>
            </w:pPr>
            <w:r>
              <w:rPr>
                <w:rFonts w:ascii="Arial" w:cs="Arial" w:eastAsia="Arial" w:hAnsi="Arial"/>
                <w:sz w:val="11"/>
                <w:szCs w:val="11"/>
                <w:color w:val="BE1549"/>
              </w:rPr>
              <w:t>•</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Continued utilization of an equity-based annual</w:t>
            </w:r>
          </w:p>
        </w:tc>
        <w:tc>
          <w:tcPr>
            <w:tcW w:w="0" w:type="dxa"/>
            <w:vAlign w:val="bottom"/>
          </w:tcPr>
          <w:p>
            <w:pPr>
              <w:spacing w:after="0"/>
              <w:rPr>
                <w:sz w:val="1"/>
                <w:szCs w:val="1"/>
                <w:color w:val="auto"/>
              </w:rPr>
            </w:pPr>
          </w:p>
        </w:tc>
      </w:tr>
      <w:tr>
        <w:trPr>
          <w:trHeight w:val="190"/>
        </w:trPr>
        <w:tc>
          <w:tcPr>
            <w:tcW w:w="100" w:type="dxa"/>
            <w:vAlign w:val="bottom"/>
            <w:shd w:val="clear" w:color="auto" w:fill="F1F2F2"/>
          </w:tcPr>
          <w:p>
            <w:pPr>
              <w:spacing w:after="0"/>
              <w:rPr>
                <w:sz w:val="16"/>
                <w:szCs w:val="16"/>
                <w:color w:val="auto"/>
              </w:rPr>
            </w:pPr>
          </w:p>
        </w:tc>
        <w:tc>
          <w:tcPr>
            <w:tcW w:w="1740" w:type="dxa"/>
            <w:vAlign w:val="bottom"/>
            <w:shd w:val="clear" w:color="auto" w:fill="F1F2F2"/>
          </w:tcPr>
          <w:p>
            <w:pPr>
              <w:spacing w:after="0"/>
              <w:rPr>
                <w:sz w:val="16"/>
                <w:szCs w:val="16"/>
                <w:color w:val="auto"/>
              </w:rPr>
            </w:pPr>
          </w:p>
        </w:tc>
        <w:tc>
          <w:tcPr>
            <w:tcW w:w="3220" w:type="dxa"/>
            <w:vAlign w:val="bottom"/>
            <w:shd w:val="clear" w:color="auto" w:fill="F1F2F2"/>
          </w:tcPr>
          <w:p>
            <w:pPr>
              <w:spacing w:after="0"/>
              <w:rPr>
                <w:sz w:val="16"/>
                <w:szCs w:val="16"/>
                <w:color w:val="auto"/>
              </w:rPr>
            </w:pPr>
          </w:p>
        </w:tc>
        <w:tc>
          <w:tcPr>
            <w:tcW w:w="400" w:type="dxa"/>
            <w:vAlign w:val="bottom"/>
            <w:shd w:val="clear" w:color="auto" w:fill="F1F2F2"/>
          </w:tcPr>
          <w:p>
            <w:pPr>
              <w:spacing w:after="0"/>
              <w:rPr>
                <w:sz w:val="16"/>
                <w:szCs w:val="16"/>
                <w:color w:val="auto"/>
              </w:rPr>
            </w:pP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bonus award, in lieu of a traditional cash bonus</w:t>
            </w:r>
          </w:p>
        </w:tc>
        <w:tc>
          <w:tcPr>
            <w:tcW w:w="0" w:type="dxa"/>
            <w:vAlign w:val="bottom"/>
          </w:tcPr>
          <w:p>
            <w:pPr>
              <w:spacing w:after="0"/>
              <w:rPr>
                <w:sz w:val="1"/>
                <w:szCs w:val="1"/>
                <w:color w:val="auto"/>
              </w:rPr>
            </w:pPr>
          </w:p>
        </w:tc>
      </w:tr>
      <w:tr>
        <w:trPr>
          <w:trHeight w:val="201"/>
        </w:trPr>
        <w:tc>
          <w:tcPr>
            <w:tcW w:w="100" w:type="dxa"/>
            <w:vAlign w:val="bottom"/>
            <w:shd w:val="clear" w:color="auto" w:fill="F1F2F2"/>
          </w:tcPr>
          <w:p>
            <w:pPr>
              <w:spacing w:after="0"/>
              <w:rPr>
                <w:sz w:val="17"/>
                <w:szCs w:val="17"/>
                <w:color w:val="auto"/>
              </w:rPr>
            </w:pPr>
          </w:p>
        </w:tc>
        <w:tc>
          <w:tcPr>
            <w:tcW w:w="1740" w:type="dxa"/>
            <w:vAlign w:val="bottom"/>
            <w:shd w:val="clear" w:color="auto" w:fill="F1F2F2"/>
          </w:tcPr>
          <w:p>
            <w:pPr>
              <w:spacing w:after="0"/>
              <w:rPr>
                <w:sz w:val="17"/>
                <w:szCs w:val="17"/>
                <w:color w:val="auto"/>
              </w:rPr>
            </w:pPr>
          </w:p>
        </w:tc>
        <w:tc>
          <w:tcPr>
            <w:tcW w:w="3220" w:type="dxa"/>
            <w:vAlign w:val="bottom"/>
            <w:shd w:val="clear" w:color="auto" w:fill="F1F2F2"/>
          </w:tcPr>
          <w:p>
            <w:pPr>
              <w:spacing w:after="0"/>
              <w:rPr>
                <w:sz w:val="17"/>
                <w:szCs w:val="17"/>
                <w:color w:val="auto"/>
              </w:rPr>
            </w:pPr>
          </w:p>
        </w:tc>
        <w:tc>
          <w:tcPr>
            <w:tcW w:w="400" w:type="dxa"/>
            <w:vAlign w:val="bottom"/>
            <w:shd w:val="clear" w:color="auto" w:fill="F1F2F2"/>
          </w:tcPr>
          <w:p>
            <w:pPr>
              <w:ind w:left="260"/>
              <w:spacing w:after="0"/>
              <w:rPr>
                <w:sz w:val="20"/>
                <w:szCs w:val="20"/>
                <w:color w:val="auto"/>
              </w:rPr>
            </w:pPr>
            <w:r>
              <w:rPr>
                <w:rFonts w:ascii="Arial" w:cs="Arial" w:eastAsia="Arial" w:hAnsi="Arial"/>
                <w:sz w:val="11"/>
                <w:szCs w:val="11"/>
                <w:color w:val="BE1549"/>
              </w:rPr>
              <w:t>•</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NEO equity awards generally granted in</w:t>
            </w:r>
          </w:p>
        </w:tc>
        <w:tc>
          <w:tcPr>
            <w:tcW w:w="0" w:type="dxa"/>
            <w:vAlign w:val="bottom"/>
          </w:tcPr>
          <w:p>
            <w:pPr>
              <w:spacing w:after="0"/>
              <w:rPr>
                <w:sz w:val="1"/>
                <w:szCs w:val="1"/>
                <w:color w:val="auto"/>
              </w:rPr>
            </w:pPr>
          </w:p>
        </w:tc>
      </w:tr>
      <w:tr>
        <w:trPr>
          <w:trHeight w:val="176"/>
        </w:trPr>
        <w:tc>
          <w:tcPr>
            <w:tcW w:w="100" w:type="dxa"/>
            <w:vAlign w:val="bottom"/>
            <w:shd w:val="clear" w:color="auto" w:fill="F1F2F2"/>
          </w:tcPr>
          <w:p>
            <w:pPr>
              <w:spacing w:after="0"/>
              <w:rPr>
                <w:sz w:val="15"/>
                <w:szCs w:val="15"/>
                <w:color w:val="auto"/>
              </w:rPr>
            </w:pPr>
          </w:p>
        </w:tc>
        <w:tc>
          <w:tcPr>
            <w:tcW w:w="1740" w:type="dxa"/>
            <w:vAlign w:val="bottom"/>
            <w:shd w:val="clear" w:color="auto" w:fill="F1F2F2"/>
          </w:tcPr>
          <w:p>
            <w:pPr>
              <w:spacing w:after="0"/>
              <w:rPr>
                <w:sz w:val="15"/>
                <w:szCs w:val="15"/>
                <w:color w:val="auto"/>
              </w:rPr>
            </w:pPr>
          </w:p>
        </w:tc>
        <w:tc>
          <w:tcPr>
            <w:tcW w:w="3220" w:type="dxa"/>
            <w:vAlign w:val="bottom"/>
            <w:shd w:val="clear" w:color="auto" w:fill="F1F2F2"/>
          </w:tcPr>
          <w:p>
            <w:pPr>
              <w:spacing w:after="0"/>
              <w:rPr>
                <w:sz w:val="15"/>
                <w:szCs w:val="15"/>
                <w:color w:val="auto"/>
              </w:rPr>
            </w:pPr>
          </w:p>
        </w:tc>
        <w:tc>
          <w:tcPr>
            <w:tcW w:w="400" w:type="dxa"/>
            <w:vAlign w:val="bottom"/>
            <w:shd w:val="clear" w:color="auto" w:fill="F1F2F2"/>
          </w:tcPr>
          <w:p>
            <w:pPr>
              <w:spacing w:after="0"/>
              <w:rPr>
                <w:sz w:val="15"/>
                <w:szCs w:val="15"/>
                <w:color w:val="auto"/>
              </w:rPr>
            </w:pP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performance-based shares, time-based shares and</w:t>
            </w:r>
          </w:p>
        </w:tc>
        <w:tc>
          <w:tcPr>
            <w:tcW w:w="0" w:type="dxa"/>
            <w:vAlign w:val="bottom"/>
          </w:tcPr>
          <w:p>
            <w:pPr>
              <w:spacing w:after="0"/>
              <w:rPr>
                <w:sz w:val="1"/>
                <w:szCs w:val="1"/>
                <w:color w:val="auto"/>
              </w:rPr>
            </w:pPr>
          </w:p>
        </w:tc>
      </w:tr>
      <w:tr>
        <w:trPr>
          <w:trHeight w:val="203"/>
        </w:trPr>
        <w:tc>
          <w:tcPr>
            <w:tcW w:w="100" w:type="dxa"/>
            <w:vAlign w:val="bottom"/>
            <w:shd w:val="clear" w:color="auto" w:fill="F1F2F2"/>
          </w:tcPr>
          <w:p>
            <w:pPr>
              <w:spacing w:after="0"/>
              <w:rPr>
                <w:sz w:val="17"/>
                <w:szCs w:val="17"/>
                <w:color w:val="auto"/>
              </w:rPr>
            </w:pPr>
          </w:p>
        </w:tc>
        <w:tc>
          <w:tcPr>
            <w:tcW w:w="1740" w:type="dxa"/>
            <w:vAlign w:val="bottom"/>
            <w:shd w:val="clear" w:color="auto" w:fill="F1F2F2"/>
          </w:tcPr>
          <w:p>
            <w:pPr>
              <w:spacing w:after="0"/>
              <w:rPr>
                <w:sz w:val="17"/>
                <w:szCs w:val="17"/>
                <w:color w:val="auto"/>
              </w:rPr>
            </w:pPr>
          </w:p>
        </w:tc>
        <w:tc>
          <w:tcPr>
            <w:tcW w:w="3220" w:type="dxa"/>
            <w:vAlign w:val="bottom"/>
            <w:shd w:val="clear" w:color="auto" w:fill="F1F2F2"/>
          </w:tcPr>
          <w:p>
            <w:pPr>
              <w:ind w:left="400"/>
              <w:spacing w:after="0"/>
              <w:rPr>
                <w:sz w:val="20"/>
                <w:szCs w:val="20"/>
                <w:color w:val="auto"/>
              </w:rPr>
            </w:pPr>
            <w:r>
              <w:rPr>
                <w:rFonts w:ascii="Arial" w:cs="Arial" w:eastAsia="Arial" w:hAnsi="Arial"/>
                <w:sz w:val="14"/>
                <w:szCs w:val="14"/>
                <w:color w:val="auto"/>
              </w:rPr>
              <w:t>Motivate performance and align a</w:t>
            </w:r>
          </w:p>
        </w:tc>
        <w:tc>
          <w:tcPr>
            <w:tcW w:w="400" w:type="dxa"/>
            <w:vAlign w:val="bottom"/>
            <w:shd w:val="clear" w:color="auto" w:fill="F1F2F2"/>
          </w:tcPr>
          <w:p>
            <w:pPr>
              <w:spacing w:after="0"/>
              <w:rPr>
                <w:sz w:val="17"/>
                <w:szCs w:val="17"/>
                <w:color w:val="auto"/>
              </w:rPr>
            </w:pP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stock options</w:t>
            </w:r>
          </w:p>
        </w:tc>
        <w:tc>
          <w:tcPr>
            <w:tcW w:w="0" w:type="dxa"/>
            <w:vAlign w:val="bottom"/>
          </w:tcPr>
          <w:p>
            <w:pPr>
              <w:spacing w:after="0"/>
              <w:rPr>
                <w:sz w:val="1"/>
                <w:szCs w:val="1"/>
                <w:color w:val="auto"/>
              </w:rPr>
            </w:pPr>
          </w:p>
        </w:tc>
      </w:tr>
      <w:tr>
        <w:trPr>
          <w:trHeight w:val="175"/>
        </w:trPr>
        <w:tc>
          <w:tcPr>
            <w:tcW w:w="100" w:type="dxa"/>
            <w:vAlign w:val="bottom"/>
            <w:shd w:val="clear" w:color="auto" w:fill="F1F2F2"/>
          </w:tcPr>
          <w:p>
            <w:pPr>
              <w:spacing w:after="0"/>
              <w:rPr>
                <w:sz w:val="15"/>
                <w:szCs w:val="15"/>
                <w:color w:val="auto"/>
              </w:rPr>
            </w:pPr>
          </w:p>
        </w:tc>
        <w:tc>
          <w:tcPr>
            <w:tcW w:w="174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Equity-Based Awards</w:t>
            </w:r>
          </w:p>
        </w:tc>
        <w:tc>
          <w:tcPr>
            <w:tcW w:w="3220" w:type="dxa"/>
            <w:vAlign w:val="bottom"/>
            <w:shd w:val="clear" w:color="auto" w:fill="F1F2F2"/>
          </w:tcPr>
          <w:p>
            <w:pPr>
              <w:ind w:left="400"/>
              <w:spacing w:after="0"/>
              <w:rPr>
                <w:sz w:val="20"/>
                <w:szCs w:val="20"/>
                <w:color w:val="auto"/>
              </w:rPr>
            </w:pPr>
            <w:r>
              <w:rPr>
                <w:rFonts w:ascii="Arial" w:cs="Arial" w:eastAsia="Arial" w:hAnsi="Arial"/>
                <w:sz w:val="14"/>
                <w:szCs w:val="14"/>
                <w:color w:val="auto"/>
              </w:rPr>
              <w:t>significant portion of NEO compensation</w:t>
            </w:r>
          </w:p>
        </w:tc>
        <w:tc>
          <w:tcPr>
            <w:tcW w:w="400" w:type="dxa"/>
            <w:vAlign w:val="bottom"/>
            <w:shd w:val="clear" w:color="auto" w:fill="F1F2F2"/>
          </w:tcPr>
          <w:p>
            <w:pPr>
              <w:ind w:left="260"/>
              <w:spacing w:after="0"/>
              <w:rPr>
                <w:sz w:val="20"/>
                <w:szCs w:val="20"/>
                <w:color w:val="auto"/>
              </w:rPr>
            </w:pPr>
            <w:r>
              <w:rPr>
                <w:rFonts w:ascii="Arial" w:cs="Arial" w:eastAsia="Arial" w:hAnsi="Arial"/>
                <w:sz w:val="11"/>
                <w:szCs w:val="11"/>
                <w:color w:val="BE1549"/>
              </w:rPr>
              <w:t>•</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Performance-based equity awards generally only</w:t>
            </w:r>
          </w:p>
        </w:tc>
        <w:tc>
          <w:tcPr>
            <w:tcW w:w="0" w:type="dxa"/>
            <w:vAlign w:val="bottom"/>
          </w:tcPr>
          <w:p>
            <w:pPr>
              <w:spacing w:after="0"/>
              <w:rPr>
                <w:sz w:val="1"/>
                <w:szCs w:val="1"/>
                <w:color w:val="auto"/>
              </w:rPr>
            </w:pPr>
          </w:p>
        </w:tc>
      </w:tr>
      <w:tr>
        <w:trPr>
          <w:trHeight w:val="102"/>
        </w:trPr>
        <w:tc>
          <w:tcPr>
            <w:tcW w:w="100" w:type="dxa"/>
            <w:vAlign w:val="bottom"/>
            <w:shd w:val="clear" w:color="auto" w:fill="F1F2F2"/>
          </w:tcPr>
          <w:p>
            <w:pPr>
              <w:spacing w:after="0"/>
              <w:rPr>
                <w:sz w:val="8"/>
                <w:szCs w:val="8"/>
                <w:color w:val="auto"/>
              </w:rPr>
            </w:pPr>
          </w:p>
        </w:tc>
        <w:tc>
          <w:tcPr>
            <w:tcW w:w="1740" w:type="dxa"/>
            <w:vAlign w:val="bottom"/>
            <w:vMerge w:val="continue"/>
            <w:shd w:val="clear" w:color="auto" w:fill="F1F2F2"/>
          </w:tcPr>
          <w:p>
            <w:pPr>
              <w:spacing w:after="0"/>
              <w:rPr>
                <w:sz w:val="8"/>
                <w:szCs w:val="8"/>
                <w:color w:val="auto"/>
              </w:rPr>
            </w:pPr>
          </w:p>
        </w:tc>
        <w:tc>
          <w:tcPr>
            <w:tcW w:w="3220" w:type="dxa"/>
            <w:vAlign w:val="bottom"/>
            <w:vMerge w:val="restart"/>
            <w:shd w:val="clear" w:color="auto" w:fill="F1F2F2"/>
          </w:tcPr>
          <w:p>
            <w:pPr>
              <w:ind w:left="400"/>
              <w:spacing w:after="0"/>
              <w:rPr>
                <w:sz w:val="20"/>
                <w:szCs w:val="20"/>
                <w:color w:val="auto"/>
              </w:rPr>
            </w:pPr>
            <w:r>
              <w:rPr>
                <w:rFonts w:ascii="Arial" w:cs="Arial" w:eastAsia="Arial" w:hAnsi="Arial"/>
                <w:sz w:val="14"/>
                <w:szCs w:val="14"/>
                <w:color w:val="auto"/>
              </w:rPr>
              <w:t>with our ongoing success and with</w:t>
            </w:r>
          </w:p>
        </w:tc>
        <w:tc>
          <w:tcPr>
            <w:tcW w:w="400" w:type="dxa"/>
            <w:vAlign w:val="bottom"/>
            <w:shd w:val="clear" w:color="auto" w:fill="F1F2F2"/>
          </w:tcPr>
          <w:p>
            <w:pPr>
              <w:spacing w:after="0"/>
              <w:rPr>
                <w:sz w:val="8"/>
                <w:szCs w:val="8"/>
                <w:color w:val="auto"/>
              </w:rPr>
            </w:pPr>
          </w:p>
        </w:tc>
        <w:tc>
          <w:tcPr>
            <w:tcW w:w="3620" w:type="dxa"/>
            <w:vAlign w:val="bottom"/>
            <w:vMerge w:val="restart"/>
            <w:shd w:val="clear" w:color="auto" w:fill="F1F2F2"/>
          </w:tcPr>
          <w:p>
            <w:pPr>
              <w:ind w:left="100"/>
              <w:spacing w:after="0"/>
              <w:rPr>
                <w:sz w:val="20"/>
                <w:szCs w:val="20"/>
                <w:color w:val="auto"/>
              </w:rPr>
            </w:pPr>
            <w:r>
              <w:rPr>
                <w:rFonts w:ascii="Arial" w:cs="Arial" w:eastAsia="Arial" w:hAnsi="Arial"/>
                <w:sz w:val="14"/>
                <w:szCs w:val="14"/>
                <w:color w:val="auto"/>
              </w:rPr>
              <w:t>have value to our NEOs to the extent the pre-</w:t>
            </w:r>
          </w:p>
        </w:tc>
        <w:tc>
          <w:tcPr>
            <w:tcW w:w="0" w:type="dxa"/>
            <w:vAlign w:val="bottom"/>
          </w:tcPr>
          <w:p>
            <w:pPr>
              <w:spacing w:after="0"/>
              <w:rPr>
                <w:sz w:val="1"/>
                <w:szCs w:val="1"/>
                <w:color w:val="auto"/>
              </w:rPr>
            </w:pPr>
          </w:p>
        </w:tc>
      </w:tr>
      <w:tr>
        <w:trPr>
          <w:trHeight w:val="70"/>
        </w:trPr>
        <w:tc>
          <w:tcPr>
            <w:tcW w:w="100" w:type="dxa"/>
            <w:vAlign w:val="bottom"/>
            <w:shd w:val="clear" w:color="auto" w:fill="F1F2F2"/>
          </w:tcPr>
          <w:p>
            <w:pPr>
              <w:spacing w:after="0"/>
              <w:rPr>
                <w:sz w:val="6"/>
                <w:szCs w:val="6"/>
                <w:color w:val="auto"/>
              </w:rPr>
            </w:pPr>
          </w:p>
        </w:tc>
        <w:tc>
          <w:tcPr>
            <w:tcW w:w="1740" w:type="dxa"/>
            <w:vAlign w:val="bottom"/>
            <w:shd w:val="clear" w:color="auto" w:fill="F1F2F2"/>
          </w:tcPr>
          <w:p>
            <w:pPr>
              <w:spacing w:after="0"/>
              <w:rPr>
                <w:sz w:val="6"/>
                <w:szCs w:val="6"/>
                <w:color w:val="auto"/>
              </w:rPr>
            </w:pPr>
          </w:p>
        </w:tc>
        <w:tc>
          <w:tcPr>
            <w:tcW w:w="3220" w:type="dxa"/>
            <w:vAlign w:val="bottom"/>
            <w:vMerge w:val="continue"/>
            <w:shd w:val="clear" w:color="auto" w:fill="F1F2F2"/>
          </w:tcPr>
          <w:p>
            <w:pPr>
              <w:spacing w:after="0"/>
              <w:rPr>
                <w:sz w:val="6"/>
                <w:szCs w:val="6"/>
                <w:color w:val="auto"/>
              </w:rPr>
            </w:pPr>
          </w:p>
        </w:tc>
        <w:tc>
          <w:tcPr>
            <w:tcW w:w="400" w:type="dxa"/>
            <w:vAlign w:val="bottom"/>
            <w:shd w:val="clear" w:color="auto" w:fill="F1F2F2"/>
          </w:tcPr>
          <w:p>
            <w:pPr>
              <w:spacing w:after="0"/>
              <w:rPr>
                <w:sz w:val="6"/>
                <w:szCs w:val="6"/>
                <w:color w:val="auto"/>
              </w:rPr>
            </w:pPr>
          </w:p>
        </w:tc>
        <w:tc>
          <w:tcPr>
            <w:tcW w:w="3620" w:type="dxa"/>
            <w:vAlign w:val="bottom"/>
            <w:vMerge w:val="continue"/>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F1F2F2"/>
          </w:tcPr>
          <w:p>
            <w:pPr>
              <w:spacing w:after="0"/>
              <w:rPr>
                <w:sz w:val="16"/>
                <w:szCs w:val="16"/>
                <w:color w:val="auto"/>
              </w:rPr>
            </w:pPr>
          </w:p>
        </w:tc>
        <w:tc>
          <w:tcPr>
            <w:tcW w:w="1740" w:type="dxa"/>
            <w:vAlign w:val="bottom"/>
            <w:shd w:val="clear" w:color="auto" w:fill="F1F2F2"/>
          </w:tcPr>
          <w:p>
            <w:pPr>
              <w:spacing w:after="0"/>
              <w:rPr>
                <w:sz w:val="16"/>
                <w:szCs w:val="16"/>
                <w:color w:val="auto"/>
              </w:rPr>
            </w:pPr>
          </w:p>
        </w:tc>
        <w:tc>
          <w:tcPr>
            <w:tcW w:w="3220" w:type="dxa"/>
            <w:vAlign w:val="bottom"/>
            <w:shd w:val="clear" w:color="auto" w:fill="F1F2F2"/>
          </w:tcPr>
          <w:p>
            <w:pPr>
              <w:ind w:left="400"/>
              <w:spacing w:after="0"/>
              <w:rPr>
                <w:sz w:val="20"/>
                <w:szCs w:val="20"/>
                <w:color w:val="auto"/>
              </w:rPr>
            </w:pPr>
            <w:r>
              <w:rPr>
                <w:rFonts w:ascii="Arial" w:cs="Arial" w:eastAsia="Arial" w:hAnsi="Arial"/>
                <w:sz w:val="14"/>
                <w:szCs w:val="14"/>
                <w:color w:val="auto"/>
              </w:rPr>
              <w:t>shareholder returns</w:t>
            </w:r>
          </w:p>
        </w:tc>
        <w:tc>
          <w:tcPr>
            <w:tcW w:w="400" w:type="dxa"/>
            <w:vAlign w:val="bottom"/>
            <w:shd w:val="clear" w:color="auto" w:fill="F1F2F2"/>
          </w:tcPr>
          <w:p>
            <w:pPr>
              <w:spacing w:after="0"/>
              <w:rPr>
                <w:sz w:val="16"/>
                <w:szCs w:val="16"/>
                <w:color w:val="auto"/>
              </w:rPr>
            </w:pP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established corporate and/or business unit goals</w:t>
            </w:r>
          </w:p>
        </w:tc>
        <w:tc>
          <w:tcPr>
            <w:tcW w:w="0" w:type="dxa"/>
            <w:vAlign w:val="bottom"/>
          </w:tcPr>
          <w:p>
            <w:pPr>
              <w:spacing w:after="0"/>
              <w:rPr>
                <w:sz w:val="1"/>
                <w:szCs w:val="1"/>
                <w:color w:val="auto"/>
              </w:rPr>
            </w:pPr>
          </w:p>
        </w:tc>
      </w:tr>
      <w:tr>
        <w:trPr>
          <w:trHeight w:val="176"/>
        </w:trPr>
        <w:tc>
          <w:tcPr>
            <w:tcW w:w="100" w:type="dxa"/>
            <w:vAlign w:val="bottom"/>
            <w:shd w:val="clear" w:color="auto" w:fill="F1F2F2"/>
          </w:tcPr>
          <w:p>
            <w:pPr>
              <w:spacing w:after="0"/>
              <w:rPr>
                <w:sz w:val="15"/>
                <w:szCs w:val="15"/>
                <w:color w:val="auto"/>
              </w:rPr>
            </w:pPr>
          </w:p>
        </w:tc>
        <w:tc>
          <w:tcPr>
            <w:tcW w:w="1740" w:type="dxa"/>
            <w:vAlign w:val="bottom"/>
            <w:shd w:val="clear" w:color="auto" w:fill="F1F2F2"/>
          </w:tcPr>
          <w:p>
            <w:pPr>
              <w:spacing w:after="0"/>
              <w:rPr>
                <w:sz w:val="15"/>
                <w:szCs w:val="15"/>
                <w:color w:val="auto"/>
              </w:rPr>
            </w:pPr>
          </w:p>
        </w:tc>
        <w:tc>
          <w:tcPr>
            <w:tcW w:w="3220" w:type="dxa"/>
            <w:vAlign w:val="bottom"/>
            <w:shd w:val="clear" w:color="auto" w:fill="F1F2F2"/>
          </w:tcPr>
          <w:p>
            <w:pPr>
              <w:spacing w:after="0"/>
              <w:rPr>
                <w:sz w:val="15"/>
                <w:szCs w:val="15"/>
                <w:color w:val="auto"/>
              </w:rPr>
            </w:pPr>
          </w:p>
        </w:tc>
        <w:tc>
          <w:tcPr>
            <w:tcW w:w="400" w:type="dxa"/>
            <w:vAlign w:val="bottom"/>
            <w:shd w:val="clear" w:color="auto" w:fill="F1F2F2"/>
          </w:tcPr>
          <w:p>
            <w:pPr>
              <w:spacing w:after="0"/>
              <w:rPr>
                <w:sz w:val="15"/>
                <w:szCs w:val="15"/>
                <w:color w:val="auto"/>
              </w:rPr>
            </w:pP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established by the compensation committee are</w:t>
            </w:r>
          </w:p>
        </w:tc>
        <w:tc>
          <w:tcPr>
            <w:tcW w:w="0" w:type="dxa"/>
            <w:vAlign w:val="bottom"/>
          </w:tcPr>
          <w:p>
            <w:pPr>
              <w:spacing w:after="0"/>
              <w:rPr>
                <w:sz w:val="1"/>
                <w:szCs w:val="1"/>
                <w:color w:val="auto"/>
              </w:rPr>
            </w:pPr>
          </w:p>
        </w:tc>
      </w:tr>
      <w:tr>
        <w:trPr>
          <w:trHeight w:val="190"/>
        </w:trPr>
        <w:tc>
          <w:tcPr>
            <w:tcW w:w="100" w:type="dxa"/>
            <w:vAlign w:val="bottom"/>
            <w:shd w:val="clear" w:color="auto" w:fill="F1F2F2"/>
          </w:tcPr>
          <w:p>
            <w:pPr>
              <w:spacing w:after="0"/>
              <w:rPr>
                <w:sz w:val="16"/>
                <w:szCs w:val="16"/>
                <w:color w:val="auto"/>
              </w:rPr>
            </w:pPr>
          </w:p>
        </w:tc>
        <w:tc>
          <w:tcPr>
            <w:tcW w:w="1740" w:type="dxa"/>
            <w:vAlign w:val="bottom"/>
            <w:shd w:val="clear" w:color="auto" w:fill="F1F2F2"/>
          </w:tcPr>
          <w:p>
            <w:pPr>
              <w:spacing w:after="0"/>
              <w:rPr>
                <w:sz w:val="16"/>
                <w:szCs w:val="16"/>
                <w:color w:val="auto"/>
              </w:rPr>
            </w:pPr>
          </w:p>
        </w:tc>
        <w:tc>
          <w:tcPr>
            <w:tcW w:w="3220" w:type="dxa"/>
            <w:vAlign w:val="bottom"/>
            <w:shd w:val="clear" w:color="auto" w:fill="F1F2F2"/>
          </w:tcPr>
          <w:p>
            <w:pPr>
              <w:spacing w:after="0"/>
              <w:rPr>
                <w:sz w:val="16"/>
                <w:szCs w:val="16"/>
                <w:color w:val="auto"/>
              </w:rPr>
            </w:pPr>
          </w:p>
        </w:tc>
        <w:tc>
          <w:tcPr>
            <w:tcW w:w="400" w:type="dxa"/>
            <w:vAlign w:val="bottom"/>
            <w:shd w:val="clear" w:color="auto" w:fill="F1F2F2"/>
          </w:tcPr>
          <w:p>
            <w:pPr>
              <w:spacing w:after="0"/>
              <w:rPr>
                <w:sz w:val="16"/>
                <w:szCs w:val="16"/>
                <w:color w:val="auto"/>
              </w:rPr>
            </w:pP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achieved</w:t>
            </w:r>
          </w:p>
        </w:tc>
        <w:tc>
          <w:tcPr>
            <w:tcW w:w="0" w:type="dxa"/>
            <w:vAlign w:val="bottom"/>
          </w:tcPr>
          <w:p>
            <w:pPr>
              <w:spacing w:after="0"/>
              <w:rPr>
                <w:sz w:val="1"/>
                <w:szCs w:val="1"/>
                <w:color w:val="auto"/>
              </w:rPr>
            </w:pPr>
          </w:p>
        </w:tc>
      </w:tr>
      <w:tr>
        <w:trPr>
          <w:trHeight w:val="215"/>
        </w:trPr>
        <w:tc>
          <w:tcPr>
            <w:tcW w:w="100" w:type="dxa"/>
            <w:vAlign w:val="bottom"/>
            <w:shd w:val="clear" w:color="auto" w:fill="F1F2F2"/>
          </w:tcPr>
          <w:p>
            <w:pPr>
              <w:spacing w:after="0"/>
              <w:rPr>
                <w:sz w:val="18"/>
                <w:szCs w:val="18"/>
                <w:color w:val="auto"/>
              </w:rPr>
            </w:pPr>
          </w:p>
        </w:tc>
        <w:tc>
          <w:tcPr>
            <w:tcW w:w="1740" w:type="dxa"/>
            <w:vAlign w:val="bottom"/>
            <w:shd w:val="clear" w:color="auto" w:fill="F1F2F2"/>
          </w:tcPr>
          <w:p>
            <w:pPr>
              <w:spacing w:after="0"/>
              <w:rPr>
                <w:sz w:val="18"/>
                <w:szCs w:val="18"/>
                <w:color w:val="auto"/>
              </w:rPr>
            </w:pPr>
          </w:p>
        </w:tc>
        <w:tc>
          <w:tcPr>
            <w:tcW w:w="3220" w:type="dxa"/>
            <w:vAlign w:val="bottom"/>
            <w:shd w:val="clear" w:color="auto" w:fill="F1F2F2"/>
          </w:tcPr>
          <w:p>
            <w:pPr>
              <w:spacing w:after="0"/>
              <w:rPr>
                <w:sz w:val="18"/>
                <w:szCs w:val="18"/>
                <w:color w:val="auto"/>
              </w:rPr>
            </w:pPr>
          </w:p>
        </w:tc>
        <w:tc>
          <w:tcPr>
            <w:tcW w:w="400" w:type="dxa"/>
            <w:vAlign w:val="bottom"/>
            <w:shd w:val="clear" w:color="auto" w:fill="F1F2F2"/>
          </w:tcPr>
          <w:p>
            <w:pPr>
              <w:ind w:left="260"/>
              <w:spacing w:after="0"/>
              <w:rPr>
                <w:sz w:val="20"/>
                <w:szCs w:val="20"/>
                <w:color w:val="auto"/>
              </w:rPr>
            </w:pPr>
            <w:r>
              <w:rPr>
                <w:rFonts w:ascii="Arial" w:cs="Arial" w:eastAsia="Arial" w:hAnsi="Arial"/>
                <w:sz w:val="11"/>
                <w:szCs w:val="11"/>
                <w:color w:val="BE1549"/>
              </w:rPr>
              <w:t>•</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Stock options only have value to our NEOs if our</w:t>
            </w:r>
          </w:p>
        </w:tc>
        <w:tc>
          <w:tcPr>
            <w:tcW w:w="0" w:type="dxa"/>
            <w:vAlign w:val="bottom"/>
          </w:tcPr>
          <w:p>
            <w:pPr>
              <w:spacing w:after="0"/>
              <w:rPr>
                <w:sz w:val="1"/>
                <w:szCs w:val="1"/>
                <w:color w:val="auto"/>
              </w:rPr>
            </w:pPr>
          </w:p>
        </w:tc>
      </w:tr>
      <w:tr>
        <w:trPr>
          <w:trHeight w:val="190"/>
        </w:trPr>
        <w:tc>
          <w:tcPr>
            <w:tcW w:w="100" w:type="dxa"/>
            <w:vAlign w:val="bottom"/>
            <w:shd w:val="clear" w:color="auto" w:fill="F1F2F2"/>
          </w:tcPr>
          <w:p>
            <w:pPr>
              <w:spacing w:after="0"/>
              <w:rPr>
                <w:sz w:val="16"/>
                <w:szCs w:val="16"/>
                <w:color w:val="auto"/>
              </w:rPr>
            </w:pPr>
          </w:p>
        </w:tc>
        <w:tc>
          <w:tcPr>
            <w:tcW w:w="1740" w:type="dxa"/>
            <w:vAlign w:val="bottom"/>
            <w:shd w:val="clear" w:color="auto" w:fill="F1F2F2"/>
          </w:tcPr>
          <w:p>
            <w:pPr>
              <w:spacing w:after="0"/>
              <w:rPr>
                <w:sz w:val="16"/>
                <w:szCs w:val="16"/>
                <w:color w:val="auto"/>
              </w:rPr>
            </w:pPr>
          </w:p>
        </w:tc>
        <w:tc>
          <w:tcPr>
            <w:tcW w:w="3220" w:type="dxa"/>
            <w:vAlign w:val="bottom"/>
            <w:shd w:val="clear" w:color="auto" w:fill="F1F2F2"/>
          </w:tcPr>
          <w:p>
            <w:pPr>
              <w:spacing w:after="0"/>
              <w:rPr>
                <w:sz w:val="16"/>
                <w:szCs w:val="16"/>
                <w:color w:val="auto"/>
              </w:rPr>
            </w:pPr>
          </w:p>
        </w:tc>
        <w:tc>
          <w:tcPr>
            <w:tcW w:w="400" w:type="dxa"/>
            <w:vAlign w:val="bottom"/>
            <w:shd w:val="clear" w:color="auto" w:fill="F1F2F2"/>
          </w:tcPr>
          <w:p>
            <w:pPr>
              <w:spacing w:after="0"/>
              <w:rPr>
                <w:sz w:val="16"/>
                <w:szCs w:val="16"/>
                <w:color w:val="auto"/>
              </w:rPr>
            </w:pP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stock price increases</w:t>
            </w:r>
          </w:p>
        </w:tc>
        <w:tc>
          <w:tcPr>
            <w:tcW w:w="0" w:type="dxa"/>
            <w:vAlign w:val="bottom"/>
          </w:tcPr>
          <w:p>
            <w:pPr>
              <w:spacing w:after="0"/>
              <w:rPr>
                <w:sz w:val="1"/>
                <w:szCs w:val="1"/>
                <w:color w:val="auto"/>
              </w:rPr>
            </w:pPr>
          </w:p>
        </w:tc>
      </w:tr>
      <w:tr>
        <w:trPr>
          <w:trHeight w:val="184"/>
        </w:trPr>
        <w:tc>
          <w:tcPr>
            <w:tcW w:w="100" w:type="dxa"/>
            <w:vAlign w:val="bottom"/>
            <w:shd w:val="clear" w:color="auto" w:fill="F1F2F2"/>
          </w:tcPr>
          <w:p>
            <w:pPr>
              <w:spacing w:after="0"/>
              <w:rPr>
                <w:sz w:val="15"/>
                <w:szCs w:val="15"/>
                <w:color w:val="auto"/>
              </w:rPr>
            </w:pPr>
          </w:p>
        </w:tc>
        <w:tc>
          <w:tcPr>
            <w:tcW w:w="1740" w:type="dxa"/>
            <w:vAlign w:val="bottom"/>
            <w:shd w:val="clear" w:color="auto" w:fill="F1F2F2"/>
          </w:tcPr>
          <w:p>
            <w:pPr>
              <w:spacing w:after="0"/>
              <w:rPr>
                <w:sz w:val="15"/>
                <w:szCs w:val="15"/>
                <w:color w:val="auto"/>
              </w:rPr>
            </w:pPr>
          </w:p>
        </w:tc>
        <w:tc>
          <w:tcPr>
            <w:tcW w:w="3220" w:type="dxa"/>
            <w:vAlign w:val="bottom"/>
            <w:shd w:val="clear" w:color="auto" w:fill="F1F2F2"/>
          </w:tcPr>
          <w:p>
            <w:pPr>
              <w:spacing w:after="0"/>
              <w:rPr>
                <w:sz w:val="15"/>
                <w:szCs w:val="15"/>
                <w:color w:val="auto"/>
              </w:rPr>
            </w:pPr>
          </w:p>
        </w:tc>
        <w:tc>
          <w:tcPr>
            <w:tcW w:w="400" w:type="dxa"/>
            <w:vAlign w:val="bottom"/>
            <w:shd w:val="clear" w:color="auto" w:fill="F1F2F2"/>
          </w:tcPr>
          <w:p>
            <w:pPr>
              <w:spacing w:after="0"/>
              <w:rPr>
                <w:sz w:val="15"/>
                <w:szCs w:val="15"/>
                <w:color w:val="auto"/>
              </w:rPr>
            </w:pPr>
          </w:p>
        </w:tc>
        <w:tc>
          <w:tcPr>
            <w:tcW w:w="362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0" w:type="dxa"/>
            <w:vAlign w:val="bottom"/>
          </w:tcPr>
          <w:p>
            <w:pPr>
              <w:ind w:left="260"/>
              <w:spacing w:after="0"/>
              <w:rPr>
                <w:sz w:val="20"/>
                <w:szCs w:val="20"/>
                <w:color w:val="auto"/>
              </w:rPr>
            </w:pPr>
            <w:r>
              <w:rPr>
                <w:rFonts w:ascii="Arial" w:cs="Arial" w:eastAsia="Arial" w:hAnsi="Arial"/>
                <w:sz w:val="11"/>
                <w:szCs w:val="11"/>
                <w:color w:val="BE1549"/>
              </w:rPr>
              <w:t>•</w:t>
            </w:r>
          </w:p>
        </w:tc>
        <w:tc>
          <w:tcPr>
            <w:tcW w:w="3620" w:type="dxa"/>
            <w:vAlign w:val="bottom"/>
          </w:tcPr>
          <w:p>
            <w:pPr>
              <w:ind w:left="100"/>
              <w:spacing w:after="0"/>
              <w:rPr>
                <w:sz w:val="20"/>
                <w:szCs w:val="20"/>
                <w:color w:val="auto"/>
              </w:rPr>
            </w:pPr>
            <w:r>
              <w:rPr>
                <w:rFonts w:ascii="Arial" w:cs="Arial" w:eastAsia="Arial" w:hAnsi="Arial"/>
                <w:sz w:val="14"/>
                <w:szCs w:val="14"/>
                <w:color w:val="auto"/>
              </w:rPr>
              <w:t>Customary retirement and health and welfare</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Employee Benefits</w:t>
            </w:r>
          </w:p>
        </w:tc>
        <w:tc>
          <w:tcPr>
            <w:tcW w:w="3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benefits to all of our salaried employees, including</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3220" w:type="dxa"/>
            <w:vAlign w:val="bottom"/>
            <w:vMerge w:val="restart"/>
          </w:tcPr>
          <w:p>
            <w:pPr>
              <w:ind w:left="400"/>
              <w:spacing w:after="0"/>
              <w:rPr>
                <w:sz w:val="20"/>
                <w:szCs w:val="20"/>
                <w:color w:val="auto"/>
              </w:rPr>
            </w:pPr>
            <w:r>
              <w:rPr>
                <w:rFonts w:ascii="Arial" w:cs="Arial" w:eastAsia="Arial" w:hAnsi="Arial"/>
                <w:sz w:val="14"/>
                <w:szCs w:val="14"/>
                <w:color w:val="auto"/>
              </w:rPr>
              <w:t>Attract and retain executive talent</w:t>
            </w:r>
          </w:p>
        </w:tc>
        <w:tc>
          <w:tcPr>
            <w:tcW w:w="400" w:type="dxa"/>
            <w:vAlign w:val="bottom"/>
          </w:tcPr>
          <w:p>
            <w:pPr>
              <w:spacing w:after="0"/>
              <w:rPr>
                <w:sz w:val="10"/>
                <w:szCs w:val="10"/>
                <w:color w:val="auto"/>
              </w:rPr>
            </w:pPr>
          </w:p>
        </w:tc>
        <w:tc>
          <w:tcPr>
            <w:tcW w:w="3620" w:type="dxa"/>
            <w:vAlign w:val="bottom"/>
            <w:vMerge w:val="restart"/>
          </w:tcPr>
          <w:p>
            <w:pPr>
              <w:ind w:left="100"/>
              <w:spacing w:after="0"/>
              <w:rPr>
                <w:sz w:val="20"/>
                <w:szCs w:val="20"/>
                <w:color w:val="auto"/>
              </w:rPr>
            </w:pPr>
            <w:r>
              <w:rPr>
                <w:rFonts w:ascii="Arial" w:cs="Arial" w:eastAsia="Arial" w:hAnsi="Arial"/>
                <w:sz w:val="14"/>
                <w:szCs w:val="14"/>
                <w:color w:val="auto"/>
              </w:rPr>
              <w:t>our NEOs</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and Perquisites</w:t>
            </w:r>
          </w:p>
        </w:tc>
        <w:tc>
          <w:tcPr>
            <w:tcW w:w="32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vMerge w:val="restart"/>
          </w:tcPr>
          <w:p>
            <w:pPr>
              <w:ind w:left="260"/>
              <w:spacing w:after="0"/>
              <w:rPr>
                <w:sz w:val="20"/>
                <w:szCs w:val="20"/>
                <w:color w:val="auto"/>
              </w:rPr>
            </w:pPr>
            <w:r>
              <w:rPr>
                <w:rFonts w:ascii="Arial" w:cs="Arial" w:eastAsia="Arial" w:hAnsi="Arial"/>
                <w:sz w:val="11"/>
                <w:szCs w:val="11"/>
                <w:color w:val="BE1549"/>
              </w:rPr>
              <w:t>•</w:t>
            </w:r>
          </w:p>
        </w:tc>
        <w:tc>
          <w:tcPr>
            <w:tcW w:w="3620" w:type="dxa"/>
            <w:vAlign w:val="bottom"/>
            <w:vMerge w:val="restart"/>
          </w:tcPr>
          <w:p>
            <w:pPr>
              <w:ind w:left="100"/>
              <w:spacing w:after="0"/>
              <w:rPr>
                <w:sz w:val="20"/>
                <w:szCs w:val="20"/>
                <w:color w:val="auto"/>
              </w:rPr>
            </w:pPr>
            <w:r>
              <w:rPr>
                <w:rFonts w:ascii="Arial" w:cs="Arial" w:eastAsia="Arial" w:hAnsi="Arial"/>
                <w:sz w:val="14"/>
                <w:szCs w:val="14"/>
                <w:color w:val="auto"/>
              </w:rPr>
              <w:t>No nonqualified deferred compensation plans or</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5560"/>
        <w:spacing w:after="0"/>
        <w:rPr>
          <w:sz w:val="20"/>
          <w:szCs w:val="20"/>
          <w:color w:val="auto"/>
        </w:rPr>
      </w:pPr>
      <w:r>
        <w:rPr>
          <w:rFonts w:ascii="Arial" w:cs="Arial" w:eastAsia="Arial" w:hAnsi="Arial"/>
          <w:sz w:val="14"/>
          <w:szCs w:val="14"/>
          <w:color w:val="auto"/>
        </w:rPr>
        <w:t>defined benefit pension plans</w:t>
      </w:r>
    </w:p>
    <w:p>
      <w:pPr>
        <w:spacing w:after="0" w:line="33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Our mix of compensation elements is designed to reinforce business and strategic objectives, recognize and reward performance, motivate long-term value creation, and align our NEOs’ interests with those of our shareholders. We generally achieve this through a combination of cash and equity awards. In 2024, we increased the compensation allocation of our NEOs to be more heavily weighted to equity by fully eliminating a traditional cash bonus opportunity and replacing it with a short-term equity award that is generally intended to achieve the same objectives, but also helps align executives’ interests with long-term shareholder value creation. We continued this practice in 2025.</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is responsible for allocating capital in a manner that is in the best interest of its shareholders in line with the stated objective of growing Adjusted EPS more than 15% per year over the mid-term. Some portion of this growth is contingent on effective capital allocation in the form of acquisitions and/or share buybacks as a use of our free cash flow.</w:t>
      </w:r>
    </w:p>
    <w:p>
      <w:pPr>
        <w:spacing w:after="0" w:line="110"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As part of our existing stock repurchase program, the Company has regularly repurchased shares that it viewed as undervalued, and thus would provide a better return to shareholders compared with other alternatives at the time. Also, repurchases are used to offset the dilutive effect of the issuance of shares to executives under equity compensation plans, including the exercise price of options, and the use of shares in acquisitions.</w:t>
      </w:r>
    </w:p>
    <w:p>
      <w:pPr>
        <w:spacing w:after="0" w:line="13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 aligns its executive compensation arrangements with its overall capital allocation strategy that helps maximize shareholders’ interests, and share repurchases are accordingly not excluded from our performance metrics.</w:t>
      </w:r>
    </w:p>
    <w:p>
      <w:pPr>
        <w:spacing w:after="0" w:line="11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compensation committee is keenly aware of the Company’s stock repurchase approach under outstanding authorizations, and historical stock repurchases when setting performance metrics for executive compensation awards. Because we intend to use free cash for either repurchases or acquisitions, the Board does not exclude repurchases from the final determination of performance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28</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69" w:right="1419" w:bottom="1440" w:gutter="0" w:footer="0" w:header="0"/>
        </w:sectPr>
      </w:pPr>
    </w:p>
    <w:bookmarkStart w:id="34" w:name="page35"/>
    <w:bookmarkEnd w:id="34"/>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color w:val="C43776"/>
        </w:rPr>
        <w:t>Target Mix of Compensation</w:t>
      </w:r>
    </w:p>
    <w:p>
      <w:pPr>
        <w:spacing w:after="0" w:line="15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compensation committee strives to achieve an appropriate mix between fixed versus variable pay and cash versus equity-based compensation awards in order to meet our compensation objectives. Our compensation committee does not have a rigid policy for allocating compensation between short- and long-term compensation. We believe the most important indicator of whether our compensation objectives are being met is our ability to motivate our NEOs to deliver superior shareholder return and retain them to continue their careers with us on a cost-effective basis. For NEOs other than the CEO, our compensation committee generally references total target compensation that is generally below the peer median for our NEOs other than the CEO. For our CEO, the compensation committee references cash-based components below the peer median, and annualized equity-based components above the peer median, resulting in total annualized compensation that is generally at or above the peer median.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 compensation.</w:t>
      </w:r>
    </w:p>
    <w:p>
      <w:pPr>
        <w:spacing w:after="0" w:line="128"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The ultimate compensation levels reflect the application of these policies to the varying responsibilities of the NEOs. In a typical year, it is expected that the greater the responsibility of the executive and the greater the potential impact of the executive on the Company’s financial performance, the higher the proportion of compensation that can be earned by the executive in the form of performance-based compensation.</w:t>
      </w:r>
    </w:p>
    <w:p>
      <w:pPr>
        <w:spacing w:after="0" w:line="132"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Our CEO has the greatest responsibility in managing and driving the performance of our Company. He joined our Company in 2000, and has managed our significant growth through a combination of organic initiatives, product and service innovation and acquisitions of businesses and commercial account portfolios, and has overseen the growth of our revenue from $33 million in 2000 to approximately $4.5 billion in 2025.</w:t>
      </w:r>
    </w:p>
    <w:p>
      <w:pPr>
        <w:spacing w:after="0" w:line="119"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The charts below illustrate the 2025 total target direct compensation mix for our CEO and our remaining NEOs other than the CEO (on average), consisting of base salary and target equity incentives. We did not offer a traditional cash bonus opportunity in our NEO compensation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Fully vested one year or less after grant, subject to performance achievement, as applicable.</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Fully vested more than one year after grant, subject to performance achievement,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29</w:t>
      </w:r>
    </w:p>
    <w:p>
      <w:pPr>
        <w:sectPr>
          <w:pgSz w:w="11900" w:h="16838" w:orient="portrait"/>
          <w:cols w:equalWidth="0" w:num="1">
            <w:col w:w="9080"/>
          </w:cols>
          <w:pgMar w:left="1400" w:top="729" w:right="1419" w:bottom="1440" w:gutter="0" w:footer="0" w:header="0"/>
        </w:sectPr>
      </w:pPr>
    </w:p>
    <w:bookmarkStart w:id="35" w:name="page36"/>
    <w:bookmarkEnd w:id="35"/>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Key Elements of 2025 Named Executive Officer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Base Salary</w:t>
      </w:r>
    </w:p>
    <w:p>
      <w:pPr>
        <w:spacing w:after="0" w:line="13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Base salaries are reviewed annually, taking into account the responsibilities, performance, experience, current salary, and retention incentives, of each NEO, while also considering internal equity and the compensation committee’s evaluation of the competitive market. No particular weight is assigned to these factors. The table below illustrates the 2025 base salaries for our NEOs: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900" w:type="dxa"/>
            <w:vAlign w:val="bottom"/>
            <w:shd w:val="clear" w:color="auto" w:fill="C43776"/>
          </w:tcPr>
          <w:p>
            <w:pPr>
              <w:spacing w:after="0"/>
              <w:rPr>
                <w:sz w:val="24"/>
                <w:szCs w:val="24"/>
                <w:color w:val="auto"/>
              </w:rPr>
            </w:pPr>
          </w:p>
        </w:tc>
        <w:tc>
          <w:tcPr>
            <w:tcW w:w="2500" w:type="dxa"/>
            <w:vAlign w:val="bottom"/>
            <w:shd w:val="clear" w:color="auto" w:fill="C43776"/>
          </w:tcPr>
          <w:p>
            <w:pPr>
              <w:jc w:val="right"/>
              <w:ind w:right="268"/>
              <w:spacing w:after="0"/>
              <w:rPr>
                <w:sz w:val="20"/>
                <w:szCs w:val="20"/>
                <w:color w:val="auto"/>
              </w:rPr>
            </w:pPr>
            <w:r>
              <w:rPr>
                <w:rFonts w:ascii="Arial" w:cs="Arial" w:eastAsia="Arial" w:hAnsi="Arial"/>
                <w:sz w:val="14"/>
                <w:szCs w:val="14"/>
                <w:b w:val="1"/>
                <w:bCs w:val="1"/>
                <w:color w:val="FFFFFF"/>
              </w:rPr>
              <w:t>2024 Base Salary Rate</w:t>
            </w:r>
          </w:p>
        </w:tc>
        <w:tc>
          <w:tcPr>
            <w:tcW w:w="2420" w:type="dxa"/>
            <w:vAlign w:val="bottom"/>
            <w:shd w:val="clear" w:color="auto" w:fill="C43776"/>
          </w:tcPr>
          <w:p>
            <w:pPr>
              <w:jc w:val="right"/>
              <w:ind w:right="468"/>
              <w:spacing w:after="0"/>
              <w:rPr>
                <w:sz w:val="20"/>
                <w:szCs w:val="20"/>
                <w:color w:val="auto"/>
              </w:rPr>
            </w:pPr>
            <w:r>
              <w:rPr>
                <w:rFonts w:ascii="Arial" w:cs="Arial" w:eastAsia="Arial" w:hAnsi="Arial"/>
                <w:sz w:val="14"/>
                <w:szCs w:val="14"/>
                <w:b w:val="1"/>
                <w:bCs w:val="1"/>
                <w:color w:val="FFFFFF"/>
              </w:rPr>
              <w:t>2025 Base Salary Rate</w:t>
            </w:r>
          </w:p>
        </w:tc>
        <w:tc>
          <w:tcPr>
            <w:tcW w:w="126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Increase</w:t>
            </w:r>
          </w:p>
        </w:tc>
      </w:tr>
      <w:tr>
        <w:trPr>
          <w:trHeight w:val="185"/>
        </w:trPr>
        <w:tc>
          <w:tcPr>
            <w:tcW w:w="290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500" w:type="dxa"/>
            <w:vAlign w:val="bottom"/>
            <w:shd w:val="clear" w:color="auto" w:fill="C43776"/>
          </w:tcPr>
          <w:p>
            <w:pPr>
              <w:jc w:val="right"/>
              <w:ind w:right="268"/>
              <w:spacing w:after="0"/>
              <w:rPr>
                <w:sz w:val="20"/>
                <w:szCs w:val="20"/>
                <w:color w:val="auto"/>
              </w:rPr>
            </w:pPr>
            <w:r>
              <w:rPr>
                <w:rFonts w:ascii="Arial" w:cs="Arial" w:eastAsia="Arial" w:hAnsi="Arial"/>
                <w:sz w:val="14"/>
                <w:szCs w:val="14"/>
                <w:b w:val="1"/>
                <w:bCs w:val="1"/>
                <w:color w:val="FFFFFF"/>
              </w:rPr>
              <w:t>($)</w:t>
            </w:r>
          </w:p>
        </w:tc>
        <w:tc>
          <w:tcPr>
            <w:tcW w:w="2420" w:type="dxa"/>
            <w:vAlign w:val="bottom"/>
            <w:shd w:val="clear" w:color="auto" w:fill="C43776"/>
          </w:tcPr>
          <w:p>
            <w:pPr>
              <w:jc w:val="right"/>
              <w:ind w:right="468"/>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5"/>
        </w:trPr>
        <w:tc>
          <w:tcPr>
            <w:tcW w:w="2900" w:type="dxa"/>
            <w:vAlign w:val="bottom"/>
            <w:shd w:val="clear" w:color="auto" w:fill="C43776"/>
          </w:tcPr>
          <w:p>
            <w:pPr>
              <w:spacing w:after="0"/>
              <w:rPr>
                <w:sz w:val="8"/>
                <w:szCs w:val="8"/>
                <w:color w:val="auto"/>
              </w:rPr>
            </w:pPr>
          </w:p>
        </w:tc>
        <w:tc>
          <w:tcPr>
            <w:tcW w:w="2500" w:type="dxa"/>
            <w:vAlign w:val="bottom"/>
            <w:shd w:val="clear" w:color="auto" w:fill="C43776"/>
          </w:tcPr>
          <w:p>
            <w:pPr>
              <w:spacing w:after="0"/>
              <w:rPr>
                <w:sz w:val="8"/>
                <w:szCs w:val="8"/>
                <w:color w:val="auto"/>
              </w:rPr>
            </w:pPr>
          </w:p>
        </w:tc>
        <w:tc>
          <w:tcPr>
            <w:tcW w:w="2420" w:type="dxa"/>
            <w:vAlign w:val="bottom"/>
            <w:shd w:val="clear" w:color="auto" w:fill="C43776"/>
          </w:tcPr>
          <w:p>
            <w:pPr>
              <w:spacing w:after="0"/>
              <w:rPr>
                <w:sz w:val="8"/>
                <w:szCs w:val="8"/>
                <w:color w:val="auto"/>
              </w:rPr>
            </w:pPr>
          </w:p>
        </w:tc>
        <w:tc>
          <w:tcPr>
            <w:tcW w:w="1260" w:type="dxa"/>
            <w:vAlign w:val="bottom"/>
            <w:shd w:val="clear" w:color="auto" w:fill="C43776"/>
          </w:tcPr>
          <w:p>
            <w:pPr>
              <w:spacing w:after="0"/>
              <w:rPr>
                <w:sz w:val="8"/>
                <w:szCs w:val="8"/>
                <w:color w:val="auto"/>
              </w:rPr>
            </w:pPr>
          </w:p>
        </w:tc>
      </w:tr>
      <w:tr>
        <w:trPr>
          <w:trHeight w:val="310"/>
        </w:trPr>
        <w:tc>
          <w:tcPr>
            <w:tcW w:w="290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r>
              <w:rPr>
                <w:rFonts w:ascii="Arial" w:cs="Arial" w:eastAsia="Arial" w:hAnsi="Arial"/>
                <w:sz w:val="18"/>
                <w:szCs w:val="18"/>
                <w:b w:val="1"/>
                <w:bCs w:val="1"/>
                <w:color w:val="auto"/>
                <w:vertAlign w:val="superscript"/>
              </w:rPr>
              <w:t>(1)</w:t>
            </w:r>
          </w:p>
        </w:tc>
        <w:tc>
          <w:tcPr>
            <w:tcW w:w="2500" w:type="dxa"/>
            <w:vAlign w:val="bottom"/>
          </w:tcPr>
          <w:p>
            <w:pPr>
              <w:jc w:val="right"/>
              <w:ind w:right="268"/>
              <w:spacing w:after="0"/>
              <w:rPr>
                <w:sz w:val="20"/>
                <w:szCs w:val="20"/>
                <w:color w:val="auto"/>
              </w:rPr>
            </w:pPr>
            <w:r>
              <w:rPr>
                <w:rFonts w:ascii="Arial" w:cs="Arial" w:eastAsia="Arial" w:hAnsi="Arial"/>
                <w:sz w:val="14"/>
                <w:szCs w:val="14"/>
                <w:color w:val="auto"/>
              </w:rPr>
              <w:t>1,200,000</w:t>
            </w:r>
          </w:p>
        </w:tc>
        <w:tc>
          <w:tcPr>
            <w:tcW w:w="2420" w:type="dxa"/>
            <w:vAlign w:val="bottom"/>
          </w:tcPr>
          <w:p>
            <w:pPr>
              <w:jc w:val="right"/>
              <w:ind w:right="468"/>
              <w:spacing w:after="0"/>
              <w:rPr>
                <w:sz w:val="20"/>
                <w:szCs w:val="20"/>
                <w:color w:val="auto"/>
              </w:rPr>
            </w:pPr>
            <w:r>
              <w:rPr>
                <w:rFonts w:ascii="Arial" w:cs="Arial" w:eastAsia="Arial" w:hAnsi="Arial"/>
                <w:sz w:val="14"/>
                <w:szCs w:val="14"/>
                <w:color w:val="auto"/>
              </w:rPr>
              <w:t>1,400,000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17</w:t>
            </w:r>
          </w:p>
        </w:tc>
      </w:tr>
      <w:tr>
        <w:trPr>
          <w:trHeight w:val="311"/>
        </w:trPr>
        <w:tc>
          <w:tcPr>
            <w:tcW w:w="290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r>
              <w:rPr>
                <w:rFonts w:ascii="Arial" w:cs="Arial" w:eastAsia="Arial" w:hAnsi="Arial"/>
                <w:sz w:val="18"/>
                <w:szCs w:val="18"/>
                <w:b w:val="1"/>
                <w:bCs w:val="1"/>
                <w:color w:val="auto"/>
                <w:vertAlign w:val="superscript"/>
              </w:rPr>
              <w:t>(2)</w:t>
            </w:r>
          </w:p>
        </w:tc>
        <w:tc>
          <w:tcPr>
            <w:tcW w:w="2500" w:type="dxa"/>
            <w:vAlign w:val="bottom"/>
            <w:shd w:val="clear" w:color="auto" w:fill="F1F2F2"/>
          </w:tcPr>
          <w:p>
            <w:pPr>
              <w:jc w:val="right"/>
              <w:ind w:right="288"/>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468"/>
              <w:spacing w:after="0"/>
              <w:rPr>
                <w:sz w:val="20"/>
                <w:szCs w:val="20"/>
                <w:color w:val="auto"/>
              </w:rPr>
            </w:pPr>
            <w:r>
              <w:rPr>
                <w:rFonts w:ascii="Arial" w:cs="Arial" w:eastAsia="Arial" w:hAnsi="Arial"/>
                <w:sz w:val="14"/>
                <w:szCs w:val="14"/>
                <w:color w:val="auto"/>
              </w:rPr>
              <w:t>600,000</w:t>
            </w:r>
          </w:p>
        </w:tc>
        <w:tc>
          <w:tcPr>
            <w:tcW w:w="12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68"/>
        </w:trPr>
        <w:tc>
          <w:tcPr>
            <w:tcW w:w="2900" w:type="dxa"/>
            <w:vAlign w:val="bottom"/>
          </w:tcPr>
          <w:p>
            <w:pPr>
              <w:ind w:left="140"/>
              <w:spacing w:after="0"/>
              <w:rPr>
                <w:sz w:val="20"/>
                <w:szCs w:val="20"/>
                <w:color w:val="auto"/>
              </w:rPr>
            </w:pPr>
            <w:r>
              <w:rPr>
                <w:rFonts w:ascii="Arial" w:cs="Arial" w:eastAsia="Arial" w:hAnsi="Arial"/>
                <w:sz w:val="14"/>
                <w:szCs w:val="14"/>
                <w:b w:val="1"/>
                <w:bCs w:val="1"/>
                <w:color w:val="auto"/>
              </w:rPr>
              <w:t>Tom Panther</w:t>
            </w:r>
          </w:p>
        </w:tc>
        <w:tc>
          <w:tcPr>
            <w:tcW w:w="2500" w:type="dxa"/>
            <w:vAlign w:val="bottom"/>
          </w:tcPr>
          <w:p>
            <w:pPr>
              <w:jc w:val="right"/>
              <w:ind w:right="268"/>
              <w:spacing w:after="0"/>
              <w:rPr>
                <w:sz w:val="20"/>
                <w:szCs w:val="20"/>
                <w:color w:val="auto"/>
              </w:rPr>
            </w:pPr>
            <w:r>
              <w:rPr>
                <w:rFonts w:ascii="Arial" w:cs="Arial" w:eastAsia="Arial" w:hAnsi="Arial"/>
                <w:sz w:val="14"/>
                <w:szCs w:val="14"/>
                <w:color w:val="auto"/>
              </w:rPr>
              <w:t>525,000</w:t>
            </w:r>
          </w:p>
        </w:tc>
        <w:tc>
          <w:tcPr>
            <w:tcW w:w="2420" w:type="dxa"/>
            <w:vAlign w:val="bottom"/>
          </w:tcPr>
          <w:p>
            <w:pPr>
              <w:jc w:val="right"/>
              <w:ind w:right="468"/>
              <w:spacing w:after="0"/>
              <w:rPr>
                <w:sz w:val="20"/>
                <w:szCs w:val="20"/>
                <w:color w:val="auto"/>
              </w:rPr>
            </w:pPr>
            <w:r>
              <w:rPr>
                <w:rFonts w:ascii="Arial" w:cs="Arial" w:eastAsia="Arial" w:hAnsi="Arial"/>
                <w:sz w:val="14"/>
                <w:szCs w:val="14"/>
                <w:color w:val="auto"/>
              </w:rPr>
              <w:t>525,000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3"/>
        </w:trPr>
        <w:tc>
          <w:tcPr>
            <w:tcW w:w="29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0"/>
        </w:trPr>
        <w:tc>
          <w:tcPr>
            <w:tcW w:w="290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Alissa B. Vickery</w:t>
            </w:r>
          </w:p>
        </w:tc>
        <w:tc>
          <w:tcPr>
            <w:tcW w:w="2500" w:type="dxa"/>
            <w:vAlign w:val="bottom"/>
            <w:tcBorders>
              <w:bottom w:val="single" w:sz="8" w:color="F1F2F2"/>
            </w:tcBorders>
            <w:shd w:val="clear" w:color="auto" w:fill="F1F2F2"/>
          </w:tcPr>
          <w:p>
            <w:pPr>
              <w:jc w:val="right"/>
              <w:ind w:right="268"/>
              <w:spacing w:after="0"/>
              <w:rPr>
                <w:sz w:val="20"/>
                <w:szCs w:val="20"/>
                <w:color w:val="auto"/>
              </w:rPr>
            </w:pPr>
            <w:r>
              <w:rPr>
                <w:rFonts w:ascii="Arial" w:cs="Arial" w:eastAsia="Arial" w:hAnsi="Arial"/>
                <w:sz w:val="14"/>
                <w:szCs w:val="14"/>
                <w:color w:val="auto"/>
              </w:rPr>
              <w:t>300,000</w:t>
            </w:r>
          </w:p>
        </w:tc>
        <w:tc>
          <w:tcPr>
            <w:tcW w:w="2420" w:type="dxa"/>
            <w:vAlign w:val="bottom"/>
            <w:tcBorders>
              <w:bottom w:val="single" w:sz="8" w:color="F1F2F2"/>
            </w:tcBorders>
            <w:shd w:val="clear" w:color="auto" w:fill="F1F2F2"/>
          </w:tcPr>
          <w:p>
            <w:pPr>
              <w:jc w:val="right"/>
              <w:ind w:right="468"/>
              <w:spacing w:after="0"/>
              <w:rPr>
                <w:sz w:val="20"/>
                <w:szCs w:val="20"/>
                <w:color w:val="auto"/>
              </w:rPr>
            </w:pPr>
            <w:r>
              <w:rPr>
                <w:rFonts w:ascii="Arial" w:cs="Arial" w:eastAsia="Arial" w:hAnsi="Arial"/>
                <w:sz w:val="14"/>
                <w:szCs w:val="14"/>
                <w:color w:val="auto"/>
              </w:rPr>
              <w:t>300,000</w:t>
            </w:r>
          </w:p>
        </w:tc>
        <w:tc>
          <w:tcPr>
            <w:tcW w:w="12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68"/>
        </w:trPr>
        <w:tc>
          <w:tcPr>
            <w:tcW w:w="2900" w:type="dxa"/>
            <w:vAlign w:val="bottom"/>
          </w:tcPr>
          <w:p>
            <w:pPr>
              <w:ind w:left="140"/>
              <w:spacing w:after="0"/>
              <w:rPr>
                <w:sz w:val="20"/>
                <w:szCs w:val="20"/>
                <w:color w:val="auto"/>
              </w:rPr>
            </w:pPr>
            <w:r>
              <w:rPr>
                <w:rFonts w:ascii="Arial" w:cs="Arial" w:eastAsia="Arial" w:hAnsi="Arial"/>
                <w:sz w:val="14"/>
                <w:szCs w:val="14"/>
                <w:b w:val="1"/>
                <w:bCs w:val="1"/>
                <w:color w:val="auto"/>
              </w:rPr>
              <w:t>Armando L. Netto</w:t>
            </w:r>
          </w:p>
        </w:tc>
        <w:tc>
          <w:tcPr>
            <w:tcW w:w="2500" w:type="dxa"/>
            <w:vAlign w:val="bottom"/>
          </w:tcPr>
          <w:p>
            <w:pPr>
              <w:jc w:val="right"/>
              <w:ind w:right="268"/>
              <w:spacing w:after="0"/>
              <w:rPr>
                <w:sz w:val="20"/>
                <w:szCs w:val="20"/>
                <w:color w:val="auto"/>
              </w:rPr>
            </w:pPr>
            <w:r>
              <w:rPr>
                <w:rFonts w:ascii="Arial" w:cs="Arial" w:eastAsia="Arial" w:hAnsi="Arial"/>
                <w:sz w:val="14"/>
                <w:szCs w:val="14"/>
                <w:color w:val="auto"/>
              </w:rPr>
              <w:t>550,000</w:t>
            </w:r>
          </w:p>
        </w:tc>
        <w:tc>
          <w:tcPr>
            <w:tcW w:w="2420" w:type="dxa"/>
            <w:vAlign w:val="bottom"/>
          </w:tcPr>
          <w:p>
            <w:pPr>
              <w:jc w:val="right"/>
              <w:ind w:right="468"/>
              <w:spacing w:after="0"/>
              <w:rPr>
                <w:sz w:val="20"/>
                <w:szCs w:val="20"/>
                <w:color w:val="auto"/>
              </w:rPr>
            </w:pPr>
            <w:r>
              <w:rPr>
                <w:rFonts w:ascii="Arial" w:cs="Arial" w:eastAsia="Arial" w:hAnsi="Arial"/>
                <w:sz w:val="14"/>
                <w:szCs w:val="14"/>
                <w:color w:val="auto"/>
              </w:rPr>
              <w:t>550,000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3"/>
        </w:trPr>
        <w:tc>
          <w:tcPr>
            <w:tcW w:w="29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0"/>
        </w:trPr>
        <w:tc>
          <w:tcPr>
            <w:tcW w:w="290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Alan King</w:t>
            </w:r>
          </w:p>
        </w:tc>
        <w:tc>
          <w:tcPr>
            <w:tcW w:w="2500" w:type="dxa"/>
            <w:vAlign w:val="bottom"/>
            <w:tcBorders>
              <w:bottom w:val="single" w:sz="8" w:color="F1F2F2"/>
            </w:tcBorders>
            <w:shd w:val="clear" w:color="auto" w:fill="F1F2F2"/>
          </w:tcPr>
          <w:p>
            <w:pPr>
              <w:jc w:val="right"/>
              <w:ind w:right="268"/>
              <w:spacing w:after="0"/>
              <w:rPr>
                <w:sz w:val="20"/>
                <w:szCs w:val="20"/>
                <w:color w:val="auto"/>
              </w:rPr>
            </w:pPr>
            <w:r>
              <w:rPr>
                <w:rFonts w:ascii="Arial" w:cs="Arial" w:eastAsia="Arial" w:hAnsi="Arial"/>
                <w:sz w:val="14"/>
                <w:szCs w:val="14"/>
                <w:color w:val="auto"/>
              </w:rPr>
              <w:t>450,000</w:t>
            </w:r>
          </w:p>
        </w:tc>
        <w:tc>
          <w:tcPr>
            <w:tcW w:w="2420" w:type="dxa"/>
            <w:vAlign w:val="bottom"/>
            <w:tcBorders>
              <w:bottom w:val="single" w:sz="8" w:color="F1F2F2"/>
            </w:tcBorders>
            <w:shd w:val="clear" w:color="auto" w:fill="F1F2F2"/>
          </w:tcPr>
          <w:p>
            <w:pPr>
              <w:jc w:val="right"/>
              <w:ind w:right="468"/>
              <w:spacing w:after="0"/>
              <w:rPr>
                <w:sz w:val="20"/>
                <w:szCs w:val="20"/>
                <w:color w:val="auto"/>
              </w:rPr>
            </w:pPr>
            <w:r>
              <w:rPr>
                <w:rFonts w:ascii="Arial" w:cs="Arial" w:eastAsia="Arial" w:hAnsi="Arial"/>
                <w:sz w:val="14"/>
                <w:szCs w:val="14"/>
                <w:color w:val="auto"/>
              </w:rPr>
              <w:t>450,000</w:t>
            </w:r>
          </w:p>
        </w:tc>
        <w:tc>
          <w:tcPr>
            <w:tcW w:w="12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0"/>
        </w:trPr>
        <w:tc>
          <w:tcPr>
            <w:tcW w:w="2900" w:type="dxa"/>
            <w:vAlign w:val="bottom"/>
            <w:shd w:val="clear" w:color="auto" w:fill="C43776"/>
          </w:tcPr>
          <w:p>
            <w:pPr>
              <w:spacing w:after="0" w:line="20" w:lineRule="exact"/>
              <w:rPr>
                <w:sz w:val="1"/>
                <w:szCs w:val="1"/>
                <w:color w:val="auto"/>
              </w:rPr>
            </w:pPr>
          </w:p>
        </w:tc>
        <w:tc>
          <w:tcPr>
            <w:tcW w:w="2500" w:type="dxa"/>
            <w:vAlign w:val="bottom"/>
            <w:shd w:val="clear" w:color="auto" w:fill="C43776"/>
          </w:tcPr>
          <w:p>
            <w:pPr>
              <w:spacing w:after="0" w:line="20" w:lineRule="exact"/>
              <w:rPr>
                <w:sz w:val="1"/>
                <w:szCs w:val="1"/>
                <w:color w:val="auto"/>
              </w:rPr>
            </w:pPr>
          </w:p>
        </w:tc>
        <w:tc>
          <w:tcPr>
            <w:tcW w:w="2420" w:type="dxa"/>
            <w:vAlign w:val="bottom"/>
            <w:shd w:val="clear" w:color="auto" w:fill="C43776"/>
          </w:tcPr>
          <w:p>
            <w:pPr>
              <w:spacing w:after="0" w:line="20" w:lineRule="exact"/>
              <w:rPr>
                <w:sz w:val="1"/>
                <w:szCs w:val="1"/>
                <w:color w:val="auto"/>
              </w:rPr>
            </w:pPr>
          </w:p>
        </w:tc>
        <w:tc>
          <w:tcPr>
            <w:tcW w:w="1260" w:type="dxa"/>
            <w:vAlign w:val="bottom"/>
            <w:shd w:val="clear" w:color="auto" w:fill="C43776"/>
          </w:tcPr>
          <w:p>
            <w:pPr>
              <w:spacing w:after="0" w:line="20" w:lineRule="exact"/>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Mr. Clarke had not received a base salary increase since 2022.</w:t>
      </w:r>
    </w:p>
    <w:p>
      <w:pPr>
        <w:spacing w:after="0" w:line="66" w:lineRule="exact"/>
        <w:rPr>
          <w:rFonts w:ascii="Arial" w:cs="Arial" w:eastAsia="Arial" w:hAnsi="Arial"/>
          <w:sz w:val="13"/>
          <w:szCs w:val="13"/>
          <w:i w:val="1"/>
          <w:iCs w:val="1"/>
          <w:color w:val="auto"/>
        </w:rPr>
      </w:pPr>
    </w:p>
    <w:p>
      <w:pPr>
        <w:ind w:left="340" w:right="580" w:hanging="332"/>
        <w:spacing w:after="0" w:line="261" w:lineRule="auto"/>
        <w:tabs>
          <w:tab w:leader="none" w:pos="340"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As discussed above, Mr. Walker was appointed Chief Financial Officer effective July 15, 2025. Mr. Walker’s initial base salary was approved by the compensation committee in connection with the appointment.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color w:val="auto"/>
        </w:rPr>
        <w:t>Equity Incentives</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We believe that performance-based equity awards are effective tools for meeting our compensation goals because the conditions to vesting motivate the achievement of performance goals and the value of the grants will increase as the value of our stock price increases. We believe that performance-based and time-based equity awards satisfy both the objective of aligning executives' pay outcomes with Company performance, and of aligning executives with long-term shareholder value creation. We believe that stock options are also an effective tool for meeting our compensation goals because NEOs are rewarded only if our stock price increases relative to the stock option’s exercise price. To determine the size of each NEO’s equity awards, we consider the external market, individual performance history and relative job responsibilities.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CEO makes equity award grant recommendations for each executive officer, including our NEOs (other than himself).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Grant recommendations are presented to the compensation committee for its review and approval.</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auto"/>
        </w:rPr>
        <w:t>NEO 2025 Equity Awards</w:t>
      </w:r>
    </w:p>
    <w:p>
      <w:pPr>
        <w:spacing w:after="0" w:line="139"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We granted the equity awards outlined in the table below, based on a targeted grant date fair value, to our participating NEOs in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3580" w:type="dxa"/>
            <w:vAlign w:val="bottom"/>
            <w:shd w:val="clear" w:color="auto" w:fill="C43776"/>
          </w:tcPr>
          <w:p>
            <w:pPr>
              <w:spacing w:after="0"/>
              <w:rPr>
                <w:sz w:val="24"/>
                <w:szCs w:val="24"/>
                <w:color w:val="auto"/>
              </w:rPr>
            </w:pPr>
          </w:p>
        </w:tc>
        <w:tc>
          <w:tcPr>
            <w:tcW w:w="1520" w:type="dxa"/>
            <w:vAlign w:val="bottom"/>
            <w:shd w:val="clear" w:color="auto" w:fill="C43776"/>
          </w:tcPr>
          <w:p>
            <w:pPr>
              <w:jc w:val="right"/>
              <w:ind w:right="148"/>
              <w:spacing w:after="0"/>
              <w:rPr>
                <w:sz w:val="20"/>
                <w:szCs w:val="20"/>
                <w:color w:val="auto"/>
              </w:rPr>
            </w:pPr>
            <w:r>
              <w:rPr>
                <w:rFonts w:ascii="Arial" w:cs="Arial" w:eastAsia="Arial" w:hAnsi="Arial"/>
                <w:sz w:val="14"/>
                <w:szCs w:val="14"/>
                <w:b w:val="1"/>
                <w:bCs w:val="1"/>
                <w:color w:val="FFFFFF"/>
              </w:rPr>
              <w:t>Performance-</w:t>
            </w:r>
          </w:p>
        </w:tc>
        <w:tc>
          <w:tcPr>
            <w:tcW w:w="1480" w:type="dxa"/>
            <w:vAlign w:val="bottom"/>
            <w:shd w:val="clear" w:color="auto" w:fill="C43776"/>
          </w:tcPr>
          <w:p>
            <w:pPr>
              <w:jc w:val="right"/>
              <w:ind w:right="268"/>
              <w:spacing w:after="0"/>
              <w:rPr>
                <w:sz w:val="20"/>
                <w:szCs w:val="20"/>
                <w:color w:val="auto"/>
              </w:rPr>
            </w:pPr>
            <w:r>
              <w:rPr>
                <w:rFonts w:ascii="Arial" w:cs="Arial" w:eastAsia="Arial" w:hAnsi="Arial"/>
                <w:sz w:val="14"/>
                <w:szCs w:val="14"/>
                <w:b w:val="1"/>
                <w:bCs w:val="1"/>
                <w:color w:val="FFFFFF"/>
              </w:rPr>
              <w:t>Time-</w:t>
            </w:r>
          </w:p>
        </w:tc>
        <w:tc>
          <w:tcPr>
            <w:tcW w:w="136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Stock</w:t>
            </w:r>
          </w:p>
        </w:tc>
        <w:tc>
          <w:tcPr>
            <w:tcW w:w="1140" w:type="dxa"/>
            <w:vAlign w:val="bottom"/>
            <w:shd w:val="clear" w:color="auto" w:fill="C43776"/>
          </w:tcPr>
          <w:p>
            <w:pPr>
              <w:spacing w:after="0"/>
              <w:rPr>
                <w:sz w:val="24"/>
                <w:szCs w:val="24"/>
                <w:color w:val="auto"/>
              </w:rPr>
            </w:pPr>
          </w:p>
        </w:tc>
      </w:tr>
      <w:tr>
        <w:trPr>
          <w:trHeight w:val="162"/>
        </w:trPr>
        <w:tc>
          <w:tcPr>
            <w:tcW w:w="3580" w:type="dxa"/>
            <w:vAlign w:val="bottom"/>
            <w:shd w:val="clear" w:color="auto" w:fill="C43776"/>
          </w:tcPr>
          <w:p>
            <w:pPr>
              <w:spacing w:after="0"/>
              <w:rPr>
                <w:sz w:val="14"/>
                <w:szCs w:val="14"/>
                <w:color w:val="auto"/>
              </w:rPr>
            </w:pPr>
          </w:p>
        </w:tc>
        <w:tc>
          <w:tcPr>
            <w:tcW w:w="1520" w:type="dxa"/>
            <w:vAlign w:val="bottom"/>
            <w:shd w:val="clear" w:color="auto" w:fill="C43776"/>
          </w:tcPr>
          <w:p>
            <w:pPr>
              <w:jc w:val="right"/>
              <w:ind w:right="148"/>
              <w:spacing w:after="0"/>
              <w:rPr>
                <w:sz w:val="20"/>
                <w:szCs w:val="20"/>
                <w:color w:val="auto"/>
              </w:rPr>
            </w:pPr>
            <w:r>
              <w:rPr>
                <w:rFonts w:ascii="Arial" w:cs="Arial" w:eastAsia="Arial" w:hAnsi="Arial"/>
                <w:sz w:val="14"/>
                <w:szCs w:val="14"/>
                <w:b w:val="1"/>
                <w:bCs w:val="1"/>
                <w:color w:val="FFFFFF"/>
              </w:rPr>
              <w:t>Based Equity</w:t>
            </w:r>
          </w:p>
        </w:tc>
        <w:tc>
          <w:tcPr>
            <w:tcW w:w="1480" w:type="dxa"/>
            <w:vAlign w:val="bottom"/>
            <w:shd w:val="clear" w:color="auto" w:fill="C43776"/>
          </w:tcPr>
          <w:p>
            <w:pPr>
              <w:jc w:val="right"/>
              <w:ind w:right="268"/>
              <w:spacing w:after="0"/>
              <w:rPr>
                <w:sz w:val="20"/>
                <w:szCs w:val="20"/>
                <w:color w:val="auto"/>
              </w:rPr>
            </w:pPr>
            <w:r>
              <w:rPr>
                <w:rFonts w:ascii="Arial" w:cs="Arial" w:eastAsia="Arial" w:hAnsi="Arial"/>
                <w:sz w:val="14"/>
                <w:szCs w:val="14"/>
                <w:b w:val="1"/>
                <w:bCs w:val="1"/>
                <w:color w:val="FFFFFF"/>
              </w:rPr>
              <w:t>Based Equity</w:t>
            </w:r>
          </w:p>
        </w:tc>
        <w:tc>
          <w:tcPr>
            <w:tcW w:w="136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Options</w:t>
            </w:r>
          </w:p>
        </w:tc>
        <w:tc>
          <w:tcPr>
            <w:tcW w:w="114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Total</w:t>
            </w:r>
          </w:p>
        </w:tc>
      </w:tr>
      <w:tr>
        <w:trPr>
          <w:trHeight w:val="175"/>
        </w:trPr>
        <w:tc>
          <w:tcPr>
            <w:tcW w:w="3580" w:type="dxa"/>
            <w:vAlign w:val="bottom"/>
            <w:shd w:val="clear" w:color="auto" w:fill="C43776"/>
          </w:tcPr>
          <w:p>
            <w:pPr>
              <w:spacing w:after="0"/>
              <w:rPr>
                <w:sz w:val="15"/>
                <w:szCs w:val="15"/>
                <w:color w:val="auto"/>
              </w:rPr>
            </w:pPr>
          </w:p>
        </w:tc>
        <w:tc>
          <w:tcPr>
            <w:tcW w:w="1520" w:type="dxa"/>
            <w:vAlign w:val="bottom"/>
            <w:shd w:val="clear" w:color="auto" w:fill="C43776"/>
          </w:tcPr>
          <w:p>
            <w:pPr>
              <w:jc w:val="right"/>
              <w:ind w:right="148"/>
              <w:spacing w:after="0"/>
              <w:rPr>
                <w:sz w:val="20"/>
                <w:szCs w:val="20"/>
                <w:color w:val="auto"/>
              </w:rPr>
            </w:pPr>
            <w:r>
              <w:rPr>
                <w:rFonts w:ascii="Arial" w:cs="Arial" w:eastAsia="Arial" w:hAnsi="Arial"/>
                <w:sz w:val="14"/>
                <w:szCs w:val="14"/>
                <w:b w:val="1"/>
                <w:bCs w:val="1"/>
                <w:color w:val="FFFFFF"/>
              </w:rPr>
              <w:t>(Target $</w:t>
            </w:r>
          </w:p>
        </w:tc>
        <w:tc>
          <w:tcPr>
            <w:tcW w:w="148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(Target $</w:t>
            </w:r>
          </w:p>
        </w:tc>
        <w:tc>
          <w:tcPr>
            <w:tcW w:w="136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(Target $</w:t>
            </w:r>
          </w:p>
        </w:tc>
        <w:tc>
          <w:tcPr>
            <w:tcW w:w="114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(Target $</w:t>
            </w:r>
          </w:p>
        </w:tc>
      </w:tr>
      <w:tr>
        <w:trPr>
          <w:trHeight w:val="185"/>
        </w:trPr>
        <w:tc>
          <w:tcPr>
            <w:tcW w:w="358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1520" w:type="dxa"/>
            <w:vAlign w:val="bottom"/>
            <w:shd w:val="clear" w:color="auto" w:fill="C43776"/>
          </w:tcPr>
          <w:p>
            <w:pPr>
              <w:jc w:val="right"/>
              <w:ind w:right="148"/>
              <w:spacing w:after="0"/>
              <w:rPr>
                <w:sz w:val="20"/>
                <w:szCs w:val="20"/>
                <w:color w:val="auto"/>
              </w:rPr>
            </w:pPr>
            <w:r>
              <w:rPr>
                <w:rFonts w:ascii="Arial" w:cs="Arial" w:eastAsia="Arial" w:hAnsi="Arial"/>
                <w:sz w:val="14"/>
                <w:szCs w:val="14"/>
                <w:b w:val="1"/>
                <w:bCs w:val="1"/>
                <w:color w:val="FFFFFF"/>
              </w:rPr>
              <w:t>Value)</w:t>
            </w:r>
          </w:p>
        </w:tc>
        <w:tc>
          <w:tcPr>
            <w:tcW w:w="1480" w:type="dxa"/>
            <w:vAlign w:val="bottom"/>
            <w:shd w:val="clear" w:color="auto" w:fill="C43776"/>
          </w:tcPr>
          <w:p>
            <w:pPr>
              <w:jc w:val="right"/>
              <w:ind w:right="268"/>
              <w:spacing w:after="0"/>
              <w:rPr>
                <w:sz w:val="20"/>
                <w:szCs w:val="20"/>
                <w:color w:val="auto"/>
              </w:rPr>
            </w:pPr>
            <w:r>
              <w:rPr>
                <w:rFonts w:ascii="Arial" w:cs="Arial" w:eastAsia="Arial" w:hAnsi="Arial"/>
                <w:sz w:val="14"/>
                <w:szCs w:val="14"/>
                <w:b w:val="1"/>
                <w:bCs w:val="1"/>
                <w:color w:val="FFFFFF"/>
              </w:rPr>
              <w:t>Value)</w:t>
            </w:r>
          </w:p>
        </w:tc>
        <w:tc>
          <w:tcPr>
            <w:tcW w:w="136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Value)</w:t>
            </w:r>
          </w:p>
        </w:tc>
        <w:tc>
          <w:tcPr>
            <w:tcW w:w="114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Value)</w:t>
            </w:r>
          </w:p>
        </w:tc>
      </w:tr>
      <w:tr>
        <w:trPr>
          <w:trHeight w:val="95"/>
        </w:trPr>
        <w:tc>
          <w:tcPr>
            <w:tcW w:w="3580" w:type="dxa"/>
            <w:vAlign w:val="bottom"/>
            <w:shd w:val="clear" w:color="auto" w:fill="C43776"/>
          </w:tcPr>
          <w:p>
            <w:pPr>
              <w:spacing w:after="0"/>
              <w:rPr>
                <w:sz w:val="8"/>
                <w:szCs w:val="8"/>
                <w:color w:val="auto"/>
              </w:rPr>
            </w:pPr>
          </w:p>
        </w:tc>
        <w:tc>
          <w:tcPr>
            <w:tcW w:w="1520" w:type="dxa"/>
            <w:vAlign w:val="bottom"/>
            <w:shd w:val="clear" w:color="auto" w:fill="C43776"/>
          </w:tcPr>
          <w:p>
            <w:pPr>
              <w:spacing w:after="0"/>
              <w:rPr>
                <w:sz w:val="8"/>
                <w:szCs w:val="8"/>
                <w:color w:val="auto"/>
              </w:rPr>
            </w:pPr>
          </w:p>
        </w:tc>
        <w:tc>
          <w:tcPr>
            <w:tcW w:w="1480" w:type="dxa"/>
            <w:vAlign w:val="bottom"/>
            <w:shd w:val="clear" w:color="auto" w:fill="C43776"/>
          </w:tcPr>
          <w:p>
            <w:pPr>
              <w:spacing w:after="0"/>
              <w:rPr>
                <w:sz w:val="8"/>
                <w:szCs w:val="8"/>
                <w:color w:val="auto"/>
              </w:rPr>
            </w:pPr>
          </w:p>
        </w:tc>
        <w:tc>
          <w:tcPr>
            <w:tcW w:w="1360" w:type="dxa"/>
            <w:vAlign w:val="bottom"/>
            <w:shd w:val="clear" w:color="auto" w:fill="C43776"/>
          </w:tcPr>
          <w:p>
            <w:pPr>
              <w:spacing w:after="0"/>
              <w:rPr>
                <w:sz w:val="8"/>
                <w:szCs w:val="8"/>
                <w:color w:val="auto"/>
              </w:rPr>
            </w:pPr>
          </w:p>
        </w:tc>
        <w:tc>
          <w:tcPr>
            <w:tcW w:w="1140" w:type="dxa"/>
            <w:vAlign w:val="bottom"/>
            <w:shd w:val="clear" w:color="auto" w:fill="C43776"/>
          </w:tcPr>
          <w:p>
            <w:pPr>
              <w:spacing w:after="0"/>
              <w:rPr>
                <w:sz w:val="8"/>
                <w:szCs w:val="8"/>
                <w:color w:val="auto"/>
              </w:rPr>
            </w:pPr>
          </w:p>
        </w:tc>
      </w:tr>
      <w:tr>
        <w:trPr>
          <w:trHeight w:val="282"/>
        </w:trPr>
        <w:tc>
          <w:tcPr>
            <w:tcW w:w="358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2,000,000</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2,000,000</w:t>
            </w:r>
          </w:p>
        </w:tc>
      </w:tr>
      <w:tr>
        <w:trPr>
          <w:trHeight w:val="29"/>
        </w:trPr>
        <w:tc>
          <w:tcPr>
            <w:tcW w:w="3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10"/>
        </w:trPr>
        <w:tc>
          <w:tcPr>
            <w:tcW w:w="358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r>
              <w:rPr>
                <w:rFonts w:ascii="Arial" w:cs="Arial" w:eastAsia="Arial" w:hAnsi="Arial"/>
                <w:sz w:val="18"/>
                <w:szCs w:val="18"/>
                <w:b w:val="1"/>
                <w:bCs w:val="1"/>
                <w:color w:val="auto"/>
                <w:vertAlign w:val="superscript"/>
              </w:rPr>
              <w:t>(1)</w:t>
            </w:r>
          </w:p>
        </w:tc>
        <w:tc>
          <w:tcPr>
            <w:tcW w:w="15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733,333</w:t>
            </w:r>
          </w:p>
        </w:tc>
        <w:tc>
          <w:tcPr>
            <w:tcW w:w="1480" w:type="dxa"/>
            <w:vAlign w:val="bottom"/>
            <w:shd w:val="clear" w:color="auto" w:fill="F1F2F2"/>
          </w:tcPr>
          <w:p>
            <w:pPr>
              <w:jc w:val="right"/>
              <w:ind w:right="288"/>
              <w:spacing w:after="0"/>
              <w:rPr>
                <w:sz w:val="20"/>
                <w:szCs w:val="20"/>
                <w:color w:val="auto"/>
              </w:rPr>
            </w:pPr>
            <w:r>
              <w:rPr>
                <w:rFonts w:ascii="Arial" w:cs="Arial" w:eastAsia="Arial" w:hAnsi="Arial"/>
                <w:sz w:val="14"/>
                <w:szCs w:val="14"/>
                <w:color w:val="auto"/>
              </w:rPr>
              <w:t>1,675,000</w:t>
            </w:r>
          </w:p>
        </w:tc>
        <w:tc>
          <w:tcPr>
            <w:tcW w:w="1360" w:type="dxa"/>
            <w:vAlign w:val="bottom"/>
            <w:shd w:val="clear" w:color="auto" w:fill="F1F2F2"/>
          </w:tcPr>
          <w:p>
            <w:pPr>
              <w:jc w:val="right"/>
              <w:ind w:right="288"/>
              <w:spacing w:after="0"/>
              <w:rPr>
                <w:sz w:val="20"/>
                <w:szCs w:val="20"/>
                <w:color w:val="auto"/>
              </w:rPr>
            </w:pPr>
            <w:r>
              <w:rPr>
                <w:rFonts w:ascii="Arial" w:cs="Arial" w:eastAsia="Arial" w:hAnsi="Arial"/>
                <w:sz w:val="14"/>
                <w:szCs w:val="14"/>
                <w:color w:val="auto"/>
              </w:rPr>
              <w:t>5,075,360</w:t>
            </w:r>
          </w:p>
        </w:tc>
        <w:tc>
          <w:tcPr>
            <w:tcW w:w="114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7,483,693</w:t>
            </w:r>
          </w:p>
        </w:tc>
      </w:tr>
      <w:tr>
        <w:trPr>
          <w:trHeight w:val="282"/>
        </w:trPr>
        <w:tc>
          <w:tcPr>
            <w:tcW w:w="358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340,000</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200,000</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540,000</w:t>
            </w:r>
          </w:p>
        </w:tc>
      </w:tr>
      <w:tr>
        <w:trPr>
          <w:trHeight w:val="29"/>
        </w:trPr>
        <w:tc>
          <w:tcPr>
            <w:tcW w:w="3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1"/>
        </w:trPr>
        <w:tc>
          <w:tcPr>
            <w:tcW w:w="358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152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2,150,000</w:t>
            </w:r>
          </w:p>
        </w:tc>
        <w:tc>
          <w:tcPr>
            <w:tcW w:w="1480" w:type="dxa"/>
            <w:vAlign w:val="bottom"/>
            <w:tcBorders>
              <w:bottom w:val="single" w:sz="8" w:color="F1F2F2"/>
            </w:tcBorders>
            <w:shd w:val="clear" w:color="auto" w:fill="F1F2F2"/>
          </w:tcPr>
          <w:p>
            <w:pPr>
              <w:jc w:val="right"/>
              <w:ind w:right="288"/>
              <w:spacing w:after="0"/>
              <w:rPr>
                <w:sz w:val="20"/>
                <w:szCs w:val="20"/>
                <w:color w:val="auto"/>
              </w:rPr>
            </w:pPr>
            <w:r>
              <w:rPr>
                <w:rFonts w:ascii="Arial" w:cs="Arial" w:eastAsia="Arial" w:hAnsi="Arial"/>
                <w:sz w:val="14"/>
                <w:szCs w:val="14"/>
                <w:color w:val="auto"/>
              </w:rPr>
              <w:t>1,193,205</w:t>
            </w:r>
          </w:p>
        </w:tc>
        <w:tc>
          <w:tcPr>
            <w:tcW w:w="1360" w:type="dxa"/>
            <w:vAlign w:val="bottom"/>
            <w:tcBorders>
              <w:bottom w:val="single" w:sz="8" w:color="F1F2F2"/>
            </w:tcBorders>
            <w:shd w:val="clear" w:color="auto" w:fill="F1F2F2"/>
          </w:tcPr>
          <w:p>
            <w:pPr>
              <w:jc w:val="right"/>
              <w:ind w:right="288"/>
              <w:spacing w:after="0"/>
              <w:rPr>
                <w:sz w:val="20"/>
                <w:szCs w:val="20"/>
                <w:color w:val="auto"/>
              </w:rPr>
            </w:pPr>
            <w:r>
              <w:rPr>
                <w:rFonts w:ascii="Arial" w:cs="Arial" w:eastAsia="Arial" w:hAnsi="Arial"/>
                <w:sz w:val="14"/>
                <w:szCs w:val="14"/>
                <w:color w:val="auto"/>
              </w:rPr>
              <w:t>1,200,000</w:t>
            </w:r>
          </w:p>
        </w:tc>
        <w:tc>
          <w:tcPr>
            <w:tcW w:w="114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4,543,205</w:t>
            </w:r>
          </w:p>
        </w:tc>
      </w:tr>
      <w:tr>
        <w:trPr>
          <w:trHeight w:val="281"/>
        </w:trPr>
        <w:tc>
          <w:tcPr>
            <w:tcW w:w="358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1,650,000</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400,000</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6,400,000</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8,450,000</w:t>
            </w:r>
          </w:p>
        </w:tc>
      </w:tr>
      <w:tr>
        <w:trPr>
          <w:trHeight w:val="29"/>
        </w:trPr>
        <w:tc>
          <w:tcPr>
            <w:tcW w:w="3580" w:type="dxa"/>
            <w:vAlign w:val="bottom"/>
            <w:tcBorders>
              <w:bottom w:val="single" w:sz="8" w:color="C43776"/>
            </w:tcBorders>
          </w:tcPr>
          <w:p>
            <w:pPr>
              <w:spacing w:after="0"/>
              <w:rPr>
                <w:sz w:val="2"/>
                <w:szCs w:val="2"/>
                <w:color w:val="auto"/>
              </w:rPr>
            </w:pPr>
          </w:p>
        </w:tc>
        <w:tc>
          <w:tcPr>
            <w:tcW w:w="1520" w:type="dxa"/>
            <w:vAlign w:val="bottom"/>
            <w:tcBorders>
              <w:bottom w:val="single" w:sz="8" w:color="C43776"/>
            </w:tcBorders>
          </w:tcPr>
          <w:p>
            <w:pPr>
              <w:spacing w:after="0"/>
              <w:rPr>
                <w:sz w:val="2"/>
                <w:szCs w:val="2"/>
                <w:color w:val="auto"/>
              </w:rPr>
            </w:pPr>
          </w:p>
        </w:tc>
        <w:tc>
          <w:tcPr>
            <w:tcW w:w="1480" w:type="dxa"/>
            <w:vAlign w:val="bottom"/>
            <w:tcBorders>
              <w:bottom w:val="single" w:sz="8" w:color="C43776"/>
            </w:tcBorders>
          </w:tcPr>
          <w:p>
            <w:pPr>
              <w:spacing w:after="0"/>
              <w:rPr>
                <w:sz w:val="2"/>
                <w:szCs w:val="2"/>
                <w:color w:val="auto"/>
              </w:rPr>
            </w:pPr>
          </w:p>
        </w:tc>
        <w:tc>
          <w:tcPr>
            <w:tcW w:w="1360" w:type="dxa"/>
            <w:vAlign w:val="bottom"/>
            <w:tcBorders>
              <w:bottom w:val="single" w:sz="8" w:color="C43776"/>
            </w:tcBorders>
          </w:tcPr>
          <w:p>
            <w:pPr>
              <w:spacing w:after="0"/>
              <w:rPr>
                <w:sz w:val="2"/>
                <w:szCs w:val="2"/>
                <w:color w:val="auto"/>
              </w:rPr>
            </w:pPr>
          </w:p>
        </w:tc>
        <w:tc>
          <w:tcPr>
            <w:tcW w:w="1140" w:type="dxa"/>
            <w:vAlign w:val="bottom"/>
            <w:tcBorders>
              <w:bottom w:val="single" w:sz="8" w:color="C43776"/>
            </w:tcBorders>
          </w:tcPr>
          <w:p>
            <w:pPr>
              <w:spacing w:after="0"/>
              <w:rPr>
                <w:sz w:val="2"/>
                <w:szCs w:val="2"/>
                <w:color w:val="auto"/>
              </w:rPr>
            </w:pPr>
          </w:p>
        </w:tc>
      </w:tr>
    </w:tbl>
    <w:p>
      <w:pPr>
        <w:spacing w:after="0" w:line="106" w:lineRule="exact"/>
        <w:rPr>
          <w:sz w:val="20"/>
          <w:szCs w:val="20"/>
          <w:color w:val="auto"/>
        </w:rPr>
      </w:pPr>
    </w:p>
    <w:p>
      <w:pPr>
        <w:ind w:left="340" w:right="120" w:hanging="332"/>
        <w:spacing w:after="0" w:line="280" w:lineRule="auto"/>
        <w:tabs>
          <w:tab w:leader="none" w:pos="340" w:val="left"/>
        </w:tabs>
        <w:numPr>
          <w:ilvl w:val="0"/>
          <w:numId w:val="32"/>
        </w:numPr>
        <w:rPr>
          <w:rFonts w:ascii="Arial" w:cs="Arial" w:eastAsia="Arial" w:hAnsi="Arial"/>
          <w:sz w:val="12"/>
          <w:szCs w:val="12"/>
          <w:i w:val="1"/>
          <w:iCs w:val="1"/>
          <w:color w:val="auto"/>
        </w:rPr>
      </w:pPr>
      <w:r>
        <w:rPr>
          <w:rFonts w:ascii="Arial" w:cs="Arial" w:eastAsia="Arial" w:hAnsi="Arial"/>
          <w:sz w:val="12"/>
          <w:szCs w:val="12"/>
          <w:i w:val="1"/>
          <w:iCs w:val="1"/>
          <w:color w:val="auto"/>
        </w:rPr>
        <w:t>A portion of Mr. Walker’s equity awards outlined in the table represent prorated amounts based on a start date of July 15, 2025, whereas other awards represent certain one-time awards granted in connection with his appointment. Mr. Walker’s regular equity awards beginning in 2026 will be comprised of performance-based equity with a $2,000,000 target value, time-based equity with a $600,000 target value and stock options with a $1,200,000 target value.</w:t>
      </w: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30</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69" w:right="1419" w:bottom="1440" w:gutter="0" w:footer="0" w:header="0"/>
        </w:sectPr>
      </w:pPr>
    </w:p>
    <w:bookmarkStart w:id="36" w:name="page37"/>
    <w:bookmarkEnd w:id="36"/>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auto"/>
        </w:rPr>
        <w:t>Performance-Based Equity</w:t>
      </w:r>
    </w:p>
    <w:p>
      <w:pPr>
        <w:spacing w:after="0" w:line="13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grant performance-based equity to our NEOs that are earned based on performance achievement over either one-year or three-year periods. The timing mix ensures the optimal combination of shorter and longer term performance objectives, while also mitigating the possibility of retention issues if goals become outdated and unachievable soon after they are established due to macroeconomic or other factors. In 2025, we granted Company Annual Equity Incentives, Annual Bonus Equity Incentives and Long-Term Equity Incentives.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Company Annual Equity Incentive</w:t>
      </w:r>
    </w:p>
    <w:p>
      <w:pPr>
        <w:spacing w:after="0" w:line="17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 key performance metric for purposes of our NEOs’ 2025 performance-based compensation was Adjusted EPS, as defined in Appendix A, further adjusted to exclude the impact of (a) the macro-environment (including foreign exchange rates, tax rates, fuel prices, fuel price spreads and interest rate fluctuations), and (b) acquisitions and divestitures. We refer to Adjusted EPS, as so adjusted, as “Adjusted EPS-COMP.”</w:t>
      </w:r>
    </w:p>
    <w:p>
      <w:pPr>
        <w:spacing w:after="0" w:line="11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In 2025, the compensation committee granted Company Annual Equity Incentives tied to Adjusted EPS-COMP achievement. </w:t>
      </w:r>
      <w:r>
        <w:rPr>
          <w:rFonts w:ascii="Arial" w:cs="Arial" w:eastAsia="Arial" w:hAnsi="Arial"/>
          <w:sz w:val="16"/>
          <w:szCs w:val="16"/>
          <w:color w:val="auto"/>
          <w:highlight w:val="white"/>
        </w:rPr>
        <w:t>The NEOs, other than Ms. Vickery, vest in any earned shares on the one-year anniversary of the grant date. Ms. Vickery’s award, to the extent earned, is subject to service-based vesting over a two-year period.</w:t>
      </w:r>
    </w:p>
    <w:p>
      <w:pPr>
        <w:spacing w:after="0" w:line="12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highlight w:val="white"/>
        </w:rPr>
        <w:t>The compensation committee approved the target Adjusted EPS-C</w:t>
      </w:r>
      <w:r>
        <w:rPr>
          <w:rFonts w:ascii="Arial" w:cs="Arial" w:eastAsia="Arial" w:hAnsi="Arial"/>
          <w:sz w:val="16"/>
          <w:szCs w:val="16"/>
          <w:color w:val="auto"/>
        </w:rPr>
        <w:t>OMP goal of $21.07, an 8% increase from the actual</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achievement for 2024, with the </w:t>
      </w:r>
      <w:r>
        <w:rPr>
          <w:rFonts w:ascii="Arial" w:cs="Arial" w:eastAsia="Arial" w:hAnsi="Arial"/>
          <w:sz w:val="16"/>
          <w:szCs w:val="16"/>
          <w:color w:val="auto"/>
          <w:highlight w:val="white"/>
        </w:rPr>
        <w:t>linear performance payout scale outlined in the table below</w:t>
      </w:r>
      <w:r>
        <w:rPr>
          <w:rFonts w:ascii="Arial" w:cs="Arial" w:eastAsia="Arial" w:hAnsi="Arial"/>
          <w:sz w:val="16"/>
          <w:szCs w:val="16"/>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06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Target Adjusted EPS-COMP</w:t>
            </w:r>
          </w:p>
        </w:tc>
        <w:tc>
          <w:tcPr>
            <w:tcW w:w="3700" w:type="dxa"/>
            <w:vAlign w:val="bottom"/>
            <w:shd w:val="clear" w:color="auto" w:fill="C43776"/>
          </w:tcPr>
          <w:p>
            <w:pPr>
              <w:jc w:val="right"/>
              <w:ind w:right="728"/>
              <w:spacing w:after="0"/>
              <w:rPr>
                <w:sz w:val="20"/>
                <w:szCs w:val="20"/>
                <w:color w:val="auto"/>
              </w:rPr>
            </w:pPr>
            <w:r>
              <w:rPr>
                <w:rFonts w:ascii="Arial" w:cs="Arial" w:eastAsia="Arial" w:hAnsi="Arial"/>
                <w:sz w:val="14"/>
                <w:szCs w:val="14"/>
                <w:b w:val="1"/>
                <w:bCs w:val="1"/>
                <w:color w:val="FFFFFF"/>
              </w:rPr>
              <w:t>Target Achievement Scale</w:t>
            </w:r>
          </w:p>
        </w:tc>
        <w:tc>
          <w:tcPr>
            <w:tcW w:w="23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Target Payout Scale</w:t>
            </w:r>
          </w:p>
        </w:tc>
      </w:tr>
      <w:tr>
        <w:trPr>
          <w:trHeight w:val="185"/>
        </w:trPr>
        <w:tc>
          <w:tcPr>
            <w:tcW w:w="306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w:t>
            </w:r>
          </w:p>
        </w:tc>
        <w:tc>
          <w:tcPr>
            <w:tcW w:w="3700" w:type="dxa"/>
            <w:vAlign w:val="bottom"/>
            <w:shd w:val="clear" w:color="auto" w:fill="C43776"/>
          </w:tcPr>
          <w:p>
            <w:pPr>
              <w:jc w:val="right"/>
              <w:ind w:right="728"/>
              <w:spacing w:after="0"/>
              <w:rPr>
                <w:sz w:val="20"/>
                <w:szCs w:val="20"/>
                <w:color w:val="auto"/>
              </w:rPr>
            </w:pPr>
            <w:r>
              <w:rPr>
                <w:rFonts w:ascii="Arial" w:cs="Arial" w:eastAsia="Arial" w:hAnsi="Arial"/>
                <w:sz w:val="14"/>
                <w:szCs w:val="14"/>
                <w:b w:val="1"/>
                <w:bCs w:val="1"/>
                <w:color w:val="FFFFFF"/>
              </w:rPr>
              <w:t>(%)</w:t>
            </w:r>
          </w:p>
        </w:tc>
        <w:tc>
          <w:tcPr>
            <w:tcW w:w="23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4"/>
        </w:trPr>
        <w:tc>
          <w:tcPr>
            <w:tcW w:w="3060" w:type="dxa"/>
            <w:vAlign w:val="bottom"/>
            <w:shd w:val="clear" w:color="auto" w:fill="C43776"/>
          </w:tcPr>
          <w:p>
            <w:pPr>
              <w:spacing w:after="0"/>
              <w:rPr>
                <w:sz w:val="8"/>
                <w:szCs w:val="8"/>
                <w:color w:val="auto"/>
              </w:rPr>
            </w:pPr>
          </w:p>
        </w:tc>
        <w:tc>
          <w:tcPr>
            <w:tcW w:w="3700" w:type="dxa"/>
            <w:vAlign w:val="bottom"/>
            <w:shd w:val="clear" w:color="auto" w:fill="C43776"/>
          </w:tcPr>
          <w:p>
            <w:pPr>
              <w:spacing w:after="0"/>
              <w:rPr>
                <w:sz w:val="8"/>
                <w:szCs w:val="8"/>
                <w:color w:val="auto"/>
              </w:rPr>
            </w:pPr>
          </w:p>
        </w:tc>
        <w:tc>
          <w:tcPr>
            <w:tcW w:w="2300" w:type="dxa"/>
            <w:vAlign w:val="bottom"/>
            <w:shd w:val="clear" w:color="auto" w:fill="C43776"/>
          </w:tcPr>
          <w:p>
            <w:pPr>
              <w:spacing w:after="0"/>
              <w:rPr>
                <w:sz w:val="8"/>
                <w:szCs w:val="8"/>
                <w:color w:val="auto"/>
              </w:rPr>
            </w:pPr>
          </w:p>
        </w:tc>
      </w:tr>
      <w:tr>
        <w:trPr>
          <w:trHeight w:val="276"/>
        </w:trPr>
        <w:tc>
          <w:tcPr>
            <w:tcW w:w="3060" w:type="dxa"/>
            <w:vAlign w:val="bottom"/>
          </w:tcPr>
          <w:p>
            <w:pPr>
              <w:jc w:val="right"/>
              <w:spacing w:after="0"/>
              <w:rPr>
                <w:sz w:val="20"/>
                <w:szCs w:val="20"/>
                <w:color w:val="auto"/>
              </w:rPr>
            </w:pPr>
            <w:r>
              <w:rPr>
                <w:rFonts w:ascii="Arial" w:cs="Arial" w:eastAsia="Arial" w:hAnsi="Arial"/>
                <w:sz w:val="14"/>
                <w:szCs w:val="14"/>
                <w:color w:val="auto"/>
              </w:rPr>
              <w:t>20.54</w:t>
            </w:r>
          </w:p>
        </w:tc>
        <w:tc>
          <w:tcPr>
            <w:tcW w:w="3700" w:type="dxa"/>
            <w:vAlign w:val="bottom"/>
          </w:tcPr>
          <w:p>
            <w:pPr>
              <w:jc w:val="right"/>
              <w:ind w:right="728"/>
              <w:spacing w:after="0"/>
              <w:rPr>
                <w:sz w:val="20"/>
                <w:szCs w:val="20"/>
                <w:color w:val="auto"/>
              </w:rPr>
            </w:pPr>
            <w:r>
              <w:rPr>
                <w:rFonts w:ascii="Arial" w:cs="Arial" w:eastAsia="Arial" w:hAnsi="Arial"/>
                <w:sz w:val="14"/>
                <w:szCs w:val="14"/>
                <w:color w:val="auto"/>
              </w:rPr>
              <w:t>97.5</w:t>
            </w:r>
          </w:p>
        </w:tc>
        <w:tc>
          <w:tcPr>
            <w:tcW w:w="2300" w:type="dxa"/>
            <w:vAlign w:val="bottom"/>
          </w:tcPr>
          <w:p>
            <w:pPr>
              <w:jc w:val="right"/>
              <w:ind w:right="68"/>
              <w:spacing w:after="0"/>
              <w:rPr>
                <w:sz w:val="20"/>
                <w:szCs w:val="20"/>
                <w:color w:val="auto"/>
              </w:rPr>
            </w:pPr>
            <w:r>
              <w:rPr>
                <w:rFonts w:ascii="Arial" w:cs="Arial" w:eastAsia="Arial" w:hAnsi="Arial"/>
                <w:sz w:val="14"/>
                <w:szCs w:val="14"/>
                <w:color w:val="auto"/>
              </w:rPr>
              <w:t>30</w:t>
            </w:r>
          </w:p>
        </w:tc>
      </w:tr>
      <w:tr>
        <w:trPr>
          <w:trHeight w:val="35"/>
        </w:trPr>
        <w:tc>
          <w:tcPr>
            <w:tcW w:w="30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290"/>
        </w:trPr>
        <w:tc>
          <w:tcPr>
            <w:tcW w:w="3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20.86</w:t>
            </w:r>
          </w:p>
        </w:tc>
        <w:tc>
          <w:tcPr>
            <w:tcW w:w="3700" w:type="dxa"/>
            <w:vAlign w:val="bottom"/>
            <w:tcBorders>
              <w:bottom w:val="single" w:sz="8" w:color="F1F2F2"/>
            </w:tcBorders>
            <w:shd w:val="clear" w:color="auto" w:fill="F1F2F2"/>
          </w:tcPr>
          <w:p>
            <w:pPr>
              <w:jc w:val="right"/>
              <w:ind w:right="728"/>
              <w:spacing w:after="0"/>
              <w:rPr>
                <w:sz w:val="20"/>
                <w:szCs w:val="20"/>
                <w:color w:val="auto"/>
              </w:rPr>
            </w:pPr>
            <w:r>
              <w:rPr>
                <w:rFonts w:ascii="Arial" w:cs="Arial" w:eastAsia="Arial" w:hAnsi="Arial"/>
                <w:sz w:val="14"/>
                <w:szCs w:val="14"/>
                <w:color w:val="auto"/>
              </w:rPr>
              <w:t>99.0</w:t>
            </w:r>
          </w:p>
        </w:tc>
        <w:tc>
          <w:tcPr>
            <w:tcW w:w="230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60</w:t>
            </w:r>
          </w:p>
        </w:tc>
      </w:tr>
      <w:tr>
        <w:trPr>
          <w:trHeight w:val="275"/>
        </w:trPr>
        <w:tc>
          <w:tcPr>
            <w:tcW w:w="3060" w:type="dxa"/>
            <w:vAlign w:val="bottom"/>
          </w:tcPr>
          <w:p>
            <w:pPr>
              <w:jc w:val="right"/>
              <w:spacing w:after="0"/>
              <w:rPr>
                <w:sz w:val="20"/>
                <w:szCs w:val="20"/>
                <w:color w:val="auto"/>
              </w:rPr>
            </w:pPr>
            <w:r>
              <w:rPr>
                <w:rFonts w:ascii="Arial" w:cs="Arial" w:eastAsia="Arial" w:hAnsi="Arial"/>
                <w:sz w:val="14"/>
                <w:szCs w:val="14"/>
                <w:color w:val="auto"/>
              </w:rPr>
              <w:t>21.07</w:t>
            </w:r>
          </w:p>
        </w:tc>
        <w:tc>
          <w:tcPr>
            <w:tcW w:w="3700" w:type="dxa"/>
            <w:vAlign w:val="bottom"/>
          </w:tcPr>
          <w:p>
            <w:pPr>
              <w:jc w:val="right"/>
              <w:ind w:right="728"/>
              <w:spacing w:after="0"/>
              <w:rPr>
                <w:sz w:val="20"/>
                <w:szCs w:val="20"/>
                <w:color w:val="auto"/>
              </w:rPr>
            </w:pPr>
            <w:r>
              <w:rPr>
                <w:rFonts w:ascii="Arial" w:cs="Arial" w:eastAsia="Arial" w:hAnsi="Arial"/>
                <w:sz w:val="14"/>
                <w:szCs w:val="14"/>
                <w:color w:val="auto"/>
              </w:rPr>
              <w:t>100.0</w:t>
            </w:r>
          </w:p>
        </w:tc>
        <w:tc>
          <w:tcPr>
            <w:tcW w:w="2300" w:type="dxa"/>
            <w:vAlign w:val="bottom"/>
          </w:tcPr>
          <w:p>
            <w:pPr>
              <w:jc w:val="right"/>
              <w:ind w:right="68"/>
              <w:spacing w:after="0"/>
              <w:rPr>
                <w:sz w:val="20"/>
                <w:szCs w:val="20"/>
                <w:color w:val="auto"/>
              </w:rPr>
            </w:pPr>
            <w:r>
              <w:rPr>
                <w:rFonts w:ascii="Arial" w:cs="Arial" w:eastAsia="Arial" w:hAnsi="Arial"/>
                <w:sz w:val="14"/>
                <w:szCs w:val="14"/>
                <w:color w:val="auto"/>
              </w:rPr>
              <w:t>100</w:t>
            </w:r>
          </w:p>
        </w:tc>
      </w:tr>
      <w:tr>
        <w:trPr>
          <w:trHeight w:val="35"/>
        </w:trPr>
        <w:tc>
          <w:tcPr>
            <w:tcW w:w="30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290"/>
        </w:trPr>
        <w:tc>
          <w:tcPr>
            <w:tcW w:w="3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21.18</w:t>
            </w:r>
          </w:p>
        </w:tc>
        <w:tc>
          <w:tcPr>
            <w:tcW w:w="3700" w:type="dxa"/>
            <w:vAlign w:val="bottom"/>
            <w:tcBorders>
              <w:bottom w:val="single" w:sz="8" w:color="F1F2F2"/>
            </w:tcBorders>
            <w:shd w:val="clear" w:color="auto" w:fill="F1F2F2"/>
          </w:tcPr>
          <w:p>
            <w:pPr>
              <w:jc w:val="right"/>
              <w:ind w:right="728"/>
              <w:spacing w:after="0"/>
              <w:rPr>
                <w:sz w:val="20"/>
                <w:szCs w:val="20"/>
                <w:color w:val="auto"/>
              </w:rPr>
            </w:pPr>
            <w:r>
              <w:rPr>
                <w:rFonts w:ascii="Arial" w:cs="Arial" w:eastAsia="Arial" w:hAnsi="Arial"/>
                <w:sz w:val="14"/>
                <w:szCs w:val="14"/>
                <w:color w:val="auto"/>
              </w:rPr>
              <w:t>100.5</w:t>
            </w:r>
          </w:p>
        </w:tc>
        <w:tc>
          <w:tcPr>
            <w:tcW w:w="230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105</w:t>
            </w:r>
          </w:p>
        </w:tc>
      </w:tr>
      <w:tr>
        <w:trPr>
          <w:trHeight w:val="275"/>
        </w:trPr>
        <w:tc>
          <w:tcPr>
            <w:tcW w:w="3060" w:type="dxa"/>
            <w:vAlign w:val="bottom"/>
          </w:tcPr>
          <w:p>
            <w:pPr>
              <w:jc w:val="right"/>
              <w:spacing w:after="0"/>
              <w:rPr>
                <w:sz w:val="20"/>
                <w:szCs w:val="20"/>
                <w:color w:val="auto"/>
              </w:rPr>
            </w:pPr>
            <w:r>
              <w:rPr>
                <w:rFonts w:ascii="Arial" w:cs="Arial" w:eastAsia="Arial" w:hAnsi="Arial"/>
                <w:sz w:val="14"/>
                <w:szCs w:val="14"/>
                <w:color w:val="auto"/>
              </w:rPr>
              <w:t>21.28</w:t>
            </w:r>
          </w:p>
        </w:tc>
        <w:tc>
          <w:tcPr>
            <w:tcW w:w="3700" w:type="dxa"/>
            <w:vAlign w:val="bottom"/>
          </w:tcPr>
          <w:p>
            <w:pPr>
              <w:jc w:val="right"/>
              <w:ind w:right="728"/>
              <w:spacing w:after="0"/>
              <w:rPr>
                <w:sz w:val="20"/>
                <w:szCs w:val="20"/>
                <w:color w:val="auto"/>
              </w:rPr>
            </w:pPr>
            <w:r>
              <w:rPr>
                <w:rFonts w:ascii="Arial" w:cs="Arial" w:eastAsia="Arial" w:hAnsi="Arial"/>
                <w:sz w:val="14"/>
                <w:szCs w:val="14"/>
                <w:color w:val="auto"/>
              </w:rPr>
              <w:t>101.0</w:t>
            </w:r>
          </w:p>
        </w:tc>
        <w:tc>
          <w:tcPr>
            <w:tcW w:w="2300" w:type="dxa"/>
            <w:vAlign w:val="bottom"/>
          </w:tcPr>
          <w:p>
            <w:pPr>
              <w:jc w:val="right"/>
              <w:ind w:right="88"/>
              <w:spacing w:after="0"/>
              <w:rPr>
                <w:sz w:val="20"/>
                <w:szCs w:val="20"/>
                <w:color w:val="auto"/>
              </w:rPr>
            </w:pPr>
            <w:r>
              <w:rPr>
                <w:rFonts w:ascii="Arial" w:cs="Arial" w:eastAsia="Arial" w:hAnsi="Arial"/>
                <w:sz w:val="14"/>
                <w:szCs w:val="14"/>
                <w:color w:val="auto"/>
              </w:rPr>
              <w:t>110</w:t>
            </w:r>
          </w:p>
        </w:tc>
      </w:tr>
      <w:tr>
        <w:trPr>
          <w:trHeight w:val="35"/>
        </w:trPr>
        <w:tc>
          <w:tcPr>
            <w:tcW w:w="30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290"/>
        </w:trPr>
        <w:tc>
          <w:tcPr>
            <w:tcW w:w="3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21.39</w:t>
            </w:r>
          </w:p>
        </w:tc>
        <w:tc>
          <w:tcPr>
            <w:tcW w:w="3700" w:type="dxa"/>
            <w:vAlign w:val="bottom"/>
            <w:tcBorders>
              <w:bottom w:val="single" w:sz="8" w:color="F1F2F2"/>
            </w:tcBorders>
            <w:shd w:val="clear" w:color="auto" w:fill="F1F2F2"/>
          </w:tcPr>
          <w:p>
            <w:pPr>
              <w:jc w:val="right"/>
              <w:ind w:right="728"/>
              <w:spacing w:after="0"/>
              <w:rPr>
                <w:sz w:val="20"/>
                <w:szCs w:val="20"/>
                <w:color w:val="auto"/>
              </w:rPr>
            </w:pPr>
            <w:r>
              <w:rPr>
                <w:rFonts w:ascii="Arial" w:cs="Arial" w:eastAsia="Arial" w:hAnsi="Arial"/>
                <w:sz w:val="14"/>
                <w:szCs w:val="14"/>
                <w:color w:val="auto"/>
              </w:rPr>
              <w:t>101.5</w:t>
            </w:r>
          </w:p>
        </w:tc>
        <w:tc>
          <w:tcPr>
            <w:tcW w:w="2300" w:type="dxa"/>
            <w:vAlign w:val="bottom"/>
            <w:tcBorders>
              <w:bottom w:val="single" w:sz="8" w:color="F1F2F2"/>
            </w:tcBorders>
            <w:shd w:val="clear" w:color="auto" w:fill="F1F2F2"/>
          </w:tcPr>
          <w:p>
            <w:pPr>
              <w:jc w:val="right"/>
              <w:ind w:right="68"/>
              <w:spacing w:after="0"/>
              <w:rPr>
                <w:sz w:val="20"/>
                <w:szCs w:val="20"/>
                <w:color w:val="auto"/>
              </w:rPr>
            </w:pPr>
            <w:r>
              <w:rPr>
                <w:rFonts w:ascii="Arial" w:cs="Arial" w:eastAsia="Arial" w:hAnsi="Arial"/>
                <w:sz w:val="14"/>
                <w:szCs w:val="14"/>
                <w:color w:val="auto"/>
              </w:rPr>
              <w:t>125</w:t>
            </w:r>
          </w:p>
        </w:tc>
      </w:tr>
      <w:tr>
        <w:trPr>
          <w:trHeight w:val="20"/>
        </w:trPr>
        <w:tc>
          <w:tcPr>
            <w:tcW w:w="3060" w:type="dxa"/>
            <w:vAlign w:val="bottom"/>
            <w:shd w:val="clear" w:color="auto" w:fill="C43776"/>
          </w:tcPr>
          <w:p>
            <w:pPr>
              <w:spacing w:after="0" w:line="20" w:lineRule="exact"/>
              <w:rPr>
                <w:sz w:val="1"/>
                <w:szCs w:val="1"/>
                <w:color w:val="auto"/>
              </w:rPr>
            </w:pPr>
          </w:p>
        </w:tc>
        <w:tc>
          <w:tcPr>
            <w:tcW w:w="3700" w:type="dxa"/>
            <w:vAlign w:val="bottom"/>
            <w:shd w:val="clear" w:color="auto" w:fill="C43776"/>
          </w:tcPr>
          <w:p>
            <w:pPr>
              <w:spacing w:after="0" w:line="20" w:lineRule="exact"/>
              <w:rPr>
                <w:sz w:val="1"/>
                <w:szCs w:val="1"/>
                <w:color w:val="auto"/>
              </w:rPr>
            </w:pPr>
          </w:p>
        </w:tc>
        <w:tc>
          <w:tcPr>
            <w:tcW w:w="2300" w:type="dxa"/>
            <w:vAlign w:val="bottom"/>
            <w:shd w:val="clear" w:color="auto" w:fill="C43776"/>
          </w:tcPr>
          <w:p>
            <w:pPr>
              <w:spacing w:after="0" w:line="20" w:lineRule="exact"/>
              <w:rPr>
                <w:sz w:val="1"/>
                <w:szCs w:val="1"/>
                <w:color w:val="auto"/>
              </w:rPr>
            </w:pPr>
          </w:p>
        </w:tc>
      </w:tr>
    </w:tbl>
    <w:p>
      <w:pPr>
        <w:spacing w:after="0" w:line="2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highlight w:val="white"/>
        </w:rPr>
        <w:t>The table below summarizes the targeted value and target number of shares of the Company Annual Equity Incentive granted to each participating NEO in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860" w:type="dxa"/>
            <w:vAlign w:val="bottom"/>
            <w:shd w:val="clear" w:color="auto" w:fill="C43776"/>
          </w:tcPr>
          <w:p>
            <w:pPr>
              <w:spacing w:after="0"/>
              <w:rPr>
                <w:sz w:val="24"/>
                <w:szCs w:val="24"/>
                <w:color w:val="auto"/>
              </w:rPr>
            </w:pPr>
          </w:p>
        </w:tc>
        <w:tc>
          <w:tcPr>
            <w:tcW w:w="2540" w:type="dxa"/>
            <w:vAlign w:val="bottom"/>
            <w:shd w:val="clear" w:color="auto" w:fill="C43776"/>
          </w:tcPr>
          <w:p>
            <w:pPr>
              <w:jc w:val="right"/>
              <w:ind w:right="468"/>
              <w:spacing w:after="0"/>
              <w:rPr>
                <w:sz w:val="20"/>
                <w:szCs w:val="20"/>
                <w:color w:val="auto"/>
              </w:rPr>
            </w:pPr>
            <w:r>
              <w:rPr>
                <w:rFonts w:ascii="Arial" w:cs="Arial" w:eastAsia="Arial" w:hAnsi="Arial"/>
                <w:sz w:val="14"/>
                <w:szCs w:val="14"/>
                <w:b w:val="1"/>
                <w:bCs w:val="1"/>
                <w:color w:val="FFFFFF"/>
              </w:rPr>
              <w:t>Target Value of Company</w:t>
            </w:r>
          </w:p>
        </w:tc>
        <w:tc>
          <w:tcPr>
            <w:tcW w:w="168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Target Number</w:t>
            </w:r>
          </w:p>
        </w:tc>
      </w:tr>
      <w:tr>
        <w:trPr>
          <w:trHeight w:val="191"/>
        </w:trPr>
        <w:tc>
          <w:tcPr>
            <w:tcW w:w="4860" w:type="dxa"/>
            <w:vAlign w:val="bottom"/>
            <w:shd w:val="clear" w:color="auto" w:fill="C43776"/>
          </w:tcPr>
          <w:p>
            <w:pPr>
              <w:spacing w:after="0"/>
              <w:rPr>
                <w:sz w:val="16"/>
                <w:szCs w:val="16"/>
                <w:color w:val="auto"/>
              </w:rPr>
            </w:pPr>
          </w:p>
        </w:tc>
        <w:tc>
          <w:tcPr>
            <w:tcW w:w="2540" w:type="dxa"/>
            <w:vAlign w:val="bottom"/>
            <w:shd w:val="clear" w:color="auto" w:fill="C43776"/>
          </w:tcPr>
          <w:p>
            <w:pPr>
              <w:jc w:val="right"/>
              <w:ind w:right="448"/>
              <w:spacing w:after="0"/>
              <w:rPr>
                <w:sz w:val="20"/>
                <w:szCs w:val="20"/>
                <w:color w:val="auto"/>
              </w:rPr>
            </w:pPr>
            <w:r>
              <w:rPr>
                <w:rFonts w:ascii="Arial" w:cs="Arial" w:eastAsia="Arial" w:hAnsi="Arial"/>
                <w:sz w:val="14"/>
                <w:szCs w:val="14"/>
                <w:b w:val="1"/>
                <w:bCs w:val="1"/>
                <w:color w:val="FFFFFF"/>
              </w:rPr>
              <w:t>Annual Equity Incentive</w:t>
            </w:r>
          </w:p>
        </w:tc>
        <w:tc>
          <w:tcPr>
            <w:tcW w:w="1680" w:type="dxa"/>
            <w:vAlign w:val="bottom"/>
            <w:shd w:val="clear" w:color="auto" w:fill="C43776"/>
          </w:tcPr>
          <w:p>
            <w:pPr>
              <w:jc w:val="right"/>
              <w:ind w:right="68"/>
              <w:spacing w:after="0" w:line="191" w:lineRule="exact"/>
              <w:rPr>
                <w:sz w:val="20"/>
                <w:szCs w:val="20"/>
                <w:color w:val="auto"/>
              </w:rPr>
            </w:pPr>
            <w:r>
              <w:rPr>
                <w:rFonts w:ascii="Arial" w:cs="Arial" w:eastAsia="Arial" w:hAnsi="Arial"/>
                <w:sz w:val="14"/>
                <w:szCs w:val="14"/>
                <w:b w:val="1"/>
                <w:bCs w:val="1"/>
                <w:color w:val="FFFFFF"/>
              </w:rPr>
              <w:t>of Shares</w:t>
            </w:r>
            <w:r>
              <w:rPr>
                <w:rFonts w:ascii="Arial" w:cs="Arial" w:eastAsia="Arial" w:hAnsi="Arial"/>
                <w:sz w:val="18"/>
                <w:szCs w:val="18"/>
                <w:b w:val="1"/>
                <w:bCs w:val="1"/>
                <w:color w:val="FFFFFF"/>
                <w:vertAlign w:val="superscript"/>
              </w:rPr>
              <w:t>(1)</w:t>
            </w:r>
          </w:p>
        </w:tc>
      </w:tr>
      <w:tr>
        <w:trPr>
          <w:trHeight w:val="185"/>
        </w:trPr>
        <w:tc>
          <w:tcPr>
            <w:tcW w:w="486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540" w:type="dxa"/>
            <w:vAlign w:val="bottom"/>
            <w:shd w:val="clear" w:color="auto" w:fill="C43776"/>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5"/>
        </w:trPr>
        <w:tc>
          <w:tcPr>
            <w:tcW w:w="4860" w:type="dxa"/>
            <w:vAlign w:val="bottom"/>
            <w:shd w:val="clear" w:color="auto" w:fill="C43776"/>
          </w:tcPr>
          <w:p>
            <w:pPr>
              <w:spacing w:after="0"/>
              <w:rPr>
                <w:sz w:val="8"/>
                <w:szCs w:val="8"/>
                <w:color w:val="auto"/>
              </w:rPr>
            </w:pPr>
          </w:p>
        </w:tc>
        <w:tc>
          <w:tcPr>
            <w:tcW w:w="2540" w:type="dxa"/>
            <w:vAlign w:val="bottom"/>
            <w:shd w:val="clear" w:color="auto" w:fill="C43776"/>
          </w:tcPr>
          <w:p>
            <w:pPr>
              <w:spacing w:after="0"/>
              <w:rPr>
                <w:sz w:val="8"/>
                <w:szCs w:val="8"/>
                <w:color w:val="auto"/>
              </w:rPr>
            </w:pPr>
          </w:p>
        </w:tc>
        <w:tc>
          <w:tcPr>
            <w:tcW w:w="1680" w:type="dxa"/>
            <w:vAlign w:val="bottom"/>
            <w:shd w:val="clear" w:color="auto" w:fill="C43776"/>
          </w:tcPr>
          <w:p>
            <w:pPr>
              <w:spacing w:after="0"/>
              <w:rPr>
                <w:sz w:val="8"/>
                <w:szCs w:val="8"/>
                <w:color w:val="auto"/>
              </w:rPr>
            </w:pP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2"/>
        </w:trPr>
        <w:tc>
          <w:tcPr>
            <w:tcW w:w="48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91"/>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2540" w:type="dxa"/>
            <w:vAlign w:val="bottom"/>
            <w:tcBorders>
              <w:bottom w:val="single" w:sz="8" w:color="F1F2F2"/>
            </w:tcBorders>
            <w:shd w:val="clear" w:color="auto" w:fill="F1F2F2"/>
          </w:tcPr>
          <w:p>
            <w:pPr>
              <w:jc w:val="right"/>
              <w:ind w:right="468"/>
              <w:spacing w:after="0"/>
              <w:rPr>
                <w:sz w:val="20"/>
                <w:szCs w:val="20"/>
                <w:color w:val="auto"/>
              </w:rPr>
            </w:pPr>
            <w:r>
              <w:rPr>
                <w:rFonts w:ascii="Arial" w:cs="Arial" w:eastAsia="Arial" w:hAnsi="Arial"/>
                <w:sz w:val="14"/>
                <w:szCs w:val="14"/>
                <w:color w:val="auto"/>
              </w:rPr>
              <w:t>183,333</w:t>
            </w:r>
          </w:p>
        </w:tc>
        <w:tc>
          <w:tcPr>
            <w:tcW w:w="16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574</w:t>
            </w: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250,000</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813</w:t>
            </w:r>
          </w:p>
        </w:tc>
      </w:tr>
      <w:tr>
        <w:trPr>
          <w:trHeight w:val="43"/>
        </w:trPr>
        <w:tc>
          <w:tcPr>
            <w:tcW w:w="48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90"/>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2540" w:type="dxa"/>
            <w:vAlign w:val="bottom"/>
            <w:tcBorders>
              <w:bottom w:val="single" w:sz="8" w:color="F1F2F2"/>
            </w:tcBorders>
            <w:shd w:val="clear" w:color="auto" w:fill="F1F2F2"/>
          </w:tcPr>
          <w:p>
            <w:pPr>
              <w:jc w:val="right"/>
              <w:ind w:right="468"/>
              <w:spacing w:after="0"/>
              <w:rPr>
                <w:sz w:val="20"/>
                <w:szCs w:val="20"/>
                <w:color w:val="auto"/>
              </w:rPr>
            </w:pPr>
            <w:r>
              <w:rPr>
                <w:rFonts w:ascii="Arial" w:cs="Arial" w:eastAsia="Arial" w:hAnsi="Arial"/>
                <w:sz w:val="14"/>
                <w:szCs w:val="14"/>
                <w:color w:val="auto"/>
              </w:rPr>
              <w:t>400,000</w:t>
            </w:r>
          </w:p>
        </w:tc>
        <w:tc>
          <w:tcPr>
            <w:tcW w:w="16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1,061</w:t>
            </w: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400,000</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1,061</w:t>
            </w:r>
          </w:p>
        </w:tc>
      </w:tr>
      <w:tr>
        <w:trPr>
          <w:trHeight w:val="43"/>
        </w:trPr>
        <w:tc>
          <w:tcPr>
            <w:tcW w:w="4860" w:type="dxa"/>
            <w:vAlign w:val="bottom"/>
            <w:tcBorders>
              <w:bottom w:val="single" w:sz="8" w:color="C43776"/>
            </w:tcBorders>
          </w:tcPr>
          <w:p>
            <w:pPr>
              <w:spacing w:after="0"/>
              <w:rPr>
                <w:sz w:val="3"/>
                <w:szCs w:val="3"/>
                <w:color w:val="auto"/>
              </w:rPr>
            </w:pPr>
          </w:p>
        </w:tc>
        <w:tc>
          <w:tcPr>
            <w:tcW w:w="2540" w:type="dxa"/>
            <w:vAlign w:val="bottom"/>
            <w:tcBorders>
              <w:bottom w:val="single" w:sz="8" w:color="C43776"/>
            </w:tcBorders>
          </w:tcPr>
          <w:p>
            <w:pPr>
              <w:spacing w:after="0"/>
              <w:rPr>
                <w:sz w:val="3"/>
                <w:szCs w:val="3"/>
                <w:color w:val="auto"/>
              </w:rPr>
            </w:pPr>
          </w:p>
        </w:tc>
        <w:tc>
          <w:tcPr>
            <w:tcW w:w="1680" w:type="dxa"/>
            <w:vAlign w:val="bottom"/>
            <w:tcBorders>
              <w:bottom w:val="single" w:sz="8" w:color="C43776"/>
            </w:tcBorders>
          </w:tcPr>
          <w:p>
            <w:pPr>
              <w:spacing w:after="0"/>
              <w:rPr>
                <w:sz w:val="3"/>
                <w:szCs w:val="3"/>
                <w:color w:val="auto"/>
              </w:rPr>
            </w:pPr>
          </w:p>
        </w:tc>
      </w:tr>
    </w:tbl>
    <w:p>
      <w:pPr>
        <w:spacing w:after="0" w:line="106" w:lineRule="exact"/>
        <w:rPr>
          <w:sz w:val="20"/>
          <w:szCs w:val="20"/>
          <w:color w:val="auto"/>
        </w:rPr>
      </w:pPr>
    </w:p>
    <w:p>
      <w:pPr>
        <w:ind w:left="340" w:right="20" w:hanging="332"/>
        <w:spacing w:after="0" w:line="244" w:lineRule="auto"/>
        <w:tabs>
          <w:tab w:leader="none" w:pos="340" w:val="left"/>
        </w:tabs>
        <w:numPr>
          <w:ilvl w:val="0"/>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For Mr. Walker, the target number of shares was calculated by dividing the targeted dollar value by the closing share price as of the grant date on July 15, 2025 ($319.61), rounding up to the next whole share. For Ms. Vickery, the target number of shares was calculated by dividing the targeted dollar value by the closing share price as of the grant date on April 22, 2025 ($307.77), rounding up to the next whole share. For Messrs. Netto and King, the target number of shares was calculated by dividing the targeted dollar value by the closing share price as of the grant date on February 14, 2025 ($377.31), rounding up to the next whole share.</w:t>
      </w:r>
    </w:p>
    <w:p>
      <w:pPr>
        <w:spacing w:after="0" w:line="160"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highlight w:val="white"/>
        </w:rPr>
        <w:t xml:space="preserve">For information concerning Company Annual Equity Incentive performance for </w:t>
      </w:r>
      <w:r>
        <w:rPr>
          <w:rFonts w:ascii="Arial" w:cs="Arial" w:eastAsia="Arial" w:hAnsi="Arial"/>
          <w:sz w:val="16"/>
          <w:szCs w:val="16"/>
          <w:color w:val="auto"/>
        </w:rPr>
        <w:t>2025 and the resulting payout levels, see</w:t>
      </w:r>
      <w:r>
        <w:rPr>
          <w:rFonts w:ascii="Arial" w:cs="Arial" w:eastAsia="Arial" w:hAnsi="Arial"/>
          <w:sz w:val="16"/>
          <w:szCs w:val="16"/>
          <w:color w:val="auto"/>
          <w:highlight w:val="white"/>
        </w:rPr>
        <w:t xml:space="preserve"> “Compensation </w:t>
      </w:r>
      <w:r>
        <w:rPr>
          <w:rFonts w:ascii="Arial" w:cs="Arial" w:eastAsia="Arial" w:hAnsi="Arial"/>
          <w:sz w:val="16"/>
          <w:szCs w:val="16"/>
          <w:color w:val="auto"/>
        </w:rPr>
        <w:t>Discussion and Analysis—Key Elements of 2025 Named Executive Officer Compensation—2025</w:t>
      </w:r>
      <w:r>
        <w:rPr>
          <w:rFonts w:ascii="Arial" w:cs="Arial" w:eastAsia="Arial" w:hAnsi="Arial"/>
          <w:sz w:val="16"/>
          <w:szCs w:val="16"/>
          <w:color w:val="auto"/>
          <w:highlight w:val="white"/>
        </w:rPr>
        <w:t xml:space="preserve"> </w:t>
      </w:r>
      <w:r>
        <w:rPr>
          <w:rFonts w:ascii="Arial" w:cs="Arial" w:eastAsia="Arial" w:hAnsi="Arial"/>
          <w:sz w:val="16"/>
          <w:szCs w:val="16"/>
          <w:color w:val="auto"/>
        </w:rPr>
        <w:t>Performance-Based Equity Goals and Payout Results” below.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31</w:t>
      </w:r>
    </w:p>
    <w:p>
      <w:pPr>
        <w:sectPr>
          <w:pgSz w:w="11900" w:h="16838" w:orient="portrait"/>
          <w:cols w:equalWidth="0" w:num="1">
            <w:col w:w="9080"/>
          </w:cols>
          <w:pgMar w:left="1400" w:top="729" w:right="1419" w:bottom="1440" w:gutter="0" w:footer="0" w:header="0"/>
        </w:sectPr>
      </w:pPr>
    </w:p>
    <w:bookmarkStart w:id="37" w:name="page38"/>
    <w:bookmarkEnd w:id="37"/>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Bonus Equity Incentive</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primary objectives of our Annual Bonus Equity Incentive program are to provide an incentive for superior work, to motivate our NEOs toward higher achievement and business results, to promote retention and to align the goals of our NEOs with the Company’s performance. We use Company-wide, individual and business unit performance goals. Individual or business unit performance goals are tied to the particular area of expertise and responsibilities of the NEO and their performance in attaining those objectives.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2025, the compensation committee determined the target Annual Bonus Equity Incentive payout levels for the participating NEOs based on a combination of factors, including market practices, each NEO’s role and responsibilities, experience and skills, expected contribution to the Company and potential impact of the NEO’s performance on revenue and net income growth. In light of a desire to further align executives with the creation of shareholder value, the compensation committee again determined that 100% of the Annual Bonus Equity Incentive target value for each participating NEO would be delivered in the form of equity that for Messrs. Clarke, Netto and King vested on February 14, 2026, and for Ms. Vickery vests on April 22, 2026, in each case, subject to achievement of the applicable performance goals. This short-term equity incentive was provided in lieu of any traditional cash bonus opportunity for 2025.</w:t>
      </w:r>
    </w:p>
    <w:p>
      <w:pPr>
        <w:spacing w:after="0" w:line="14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compensation committee and the CEO worked together to establish meaningful performance goals for the CEO’s Annual Bonus Equity Incentive award at the beginning of the performance period. These goals are intended to align CEO rewards with Company performance. In the event of achievement of maximum results under the applicable performance goals, the CEO’s Annual Bonus Equity Incentive has a maximum potential value equal to 200% of target.</w:t>
      </w:r>
    </w:p>
    <w:p>
      <w:pPr>
        <w:spacing w:after="0" w:line="119"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The table below outlines the performance metrics used for the CEO’s Annual Bonus Equity Incentive, which metrics were selected to drive a focus on corporate objectives that are expected to produce an increase in shareholder value: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00" w:type="dxa"/>
            <w:vAlign w:val="bottom"/>
            <w:shd w:val="clear" w:color="auto" w:fill="C43776"/>
          </w:tcPr>
          <w:p>
            <w:pPr>
              <w:spacing w:after="0"/>
              <w:rPr>
                <w:sz w:val="24"/>
                <w:szCs w:val="24"/>
                <w:color w:val="auto"/>
              </w:rPr>
            </w:pPr>
          </w:p>
        </w:tc>
        <w:tc>
          <w:tcPr>
            <w:tcW w:w="156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CEO Pay Element</w:t>
            </w:r>
          </w:p>
        </w:tc>
        <w:tc>
          <w:tcPr>
            <w:tcW w:w="3160" w:type="dxa"/>
            <w:vAlign w:val="bottom"/>
            <w:shd w:val="clear" w:color="auto" w:fill="C43776"/>
          </w:tcPr>
          <w:p>
            <w:pPr>
              <w:ind w:left="160"/>
              <w:spacing w:after="0"/>
              <w:rPr>
                <w:sz w:val="20"/>
                <w:szCs w:val="20"/>
                <w:color w:val="auto"/>
              </w:rPr>
            </w:pPr>
            <w:r>
              <w:rPr>
                <w:rFonts w:ascii="Arial" w:cs="Arial" w:eastAsia="Arial" w:hAnsi="Arial"/>
                <w:sz w:val="14"/>
                <w:szCs w:val="14"/>
                <w:b w:val="1"/>
                <w:bCs w:val="1"/>
                <w:color w:val="FFFFFF"/>
              </w:rPr>
              <w:t>Performance Metric</w:t>
            </w:r>
          </w:p>
        </w:tc>
        <w:tc>
          <w:tcPr>
            <w:tcW w:w="4260" w:type="dxa"/>
            <w:vAlign w:val="bottom"/>
            <w:shd w:val="clear" w:color="auto" w:fill="C43776"/>
          </w:tcPr>
          <w:p>
            <w:pPr>
              <w:ind w:left="280"/>
              <w:spacing w:after="0"/>
              <w:rPr>
                <w:sz w:val="20"/>
                <w:szCs w:val="20"/>
                <w:color w:val="auto"/>
              </w:rPr>
            </w:pPr>
            <w:r>
              <w:rPr>
                <w:rFonts w:ascii="Arial" w:cs="Arial" w:eastAsia="Arial" w:hAnsi="Arial"/>
                <w:sz w:val="14"/>
                <w:szCs w:val="14"/>
                <w:b w:val="1"/>
                <w:bCs w:val="1"/>
                <w:color w:val="FFFFFF"/>
              </w:rPr>
              <w:t>Rationale and Key Features</w:t>
            </w:r>
          </w:p>
        </w:tc>
        <w:tc>
          <w:tcPr>
            <w:tcW w:w="0" w:type="dxa"/>
            <w:vAlign w:val="bottom"/>
          </w:tcPr>
          <w:p>
            <w:pPr>
              <w:spacing w:after="0"/>
              <w:rPr>
                <w:sz w:val="1"/>
                <w:szCs w:val="1"/>
                <w:color w:val="auto"/>
              </w:rPr>
            </w:pPr>
          </w:p>
        </w:tc>
      </w:tr>
      <w:tr>
        <w:trPr>
          <w:trHeight w:val="94"/>
        </w:trPr>
        <w:tc>
          <w:tcPr>
            <w:tcW w:w="100" w:type="dxa"/>
            <w:vAlign w:val="bottom"/>
            <w:shd w:val="clear" w:color="auto" w:fill="C43776"/>
          </w:tcPr>
          <w:p>
            <w:pPr>
              <w:spacing w:after="0"/>
              <w:rPr>
                <w:sz w:val="8"/>
                <w:szCs w:val="8"/>
                <w:color w:val="auto"/>
              </w:rPr>
            </w:pPr>
          </w:p>
        </w:tc>
        <w:tc>
          <w:tcPr>
            <w:tcW w:w="1560" w:type="dxa"/>
            <w:vAlign w:val="bottom"/>
            <w:shd w:val="clear" w:color="auto" w:fill="C43776"/>
          </w:tcPr>
          <w:p>
            <w:pPr>
              <w:spacing w:after="0"/>
              <w:rPr>
                <w:sz w:val="8"/>
                <w:szCs w:val="8"/>
                <w:color w:val="auto"/>
              </w:rPr>
            </w:pPr>
          </w:p>
        </w:tc>
        <w:tc>
          <w:tcPr>
            <w:tcW w:w="3160" w:type="dxa"/>
            <w:vAlign w:val="bottom"/>
            <w:shd w:val="clear" w:color="auto" w:fill="C43776"/>
          </w:tcPr>
          <w:p>
            <w:pPr>
              <w:spacing w:after="0"/>
              <w:rPr>
                <w:sz w:val="8"/>
                <w:szCs w:val="8"/>
                <w:color w:val="auto"/>
              </w:rPr>
            </w:pPr>
          </w:p>
        </w:tc>
        <w:tc>
          <w:tcPr>
            <w:tcW w:w="426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60" w:type="dxa"/>
            <w:vAlign w:val="bottom"/>
            <w:vMerge w:val="restart"/>
          </w:tcPr>
          <w:p>
            <w:pPr>
              <w:ind w:left="160"/>
              <w:spacing w:after="0"/>
              <w:rPr>
                <w:sz w:val="20"/>
                <w:szCs w:val="20"/>
                <w:color w:val="auto"/>
              </w:rPr>
            </w:pPr>
            <w:r>
              <w:rPr>
                <w:rFonts w:ascii="Arial" w:cs="Arial" w:eastAsia="Arial" w:hAnsi="Arial"/>
                <w:sz w:val="14"/>
                <w:szCs w:val="14"/>
                <w:color w:val="auto"/>
              </w:rPr>
              <w:t>GAAP Revenue, as Adjusted (34% weight)</w:t>
            </w:r>
          </w:p>
        </w:tc>
        <w:tc>
          <w:tcPr>
            <w:tcW w:w="4260" w:type="dxa"/>
            <w:vAlign w:val="bottom"/>
          </w:tcPr>
          <w:p>
            <w:pPr>
              <w:ind w:left="280"/>
              <w:spacing w:after="0"/>
              <w:rPr>
                <w:sz w:val="20"/>
                <w:szCs w:val="20"/>
                <w:color w:val="auto"/>
              </w:rPr>
            </w:pPr>
            <w:r>
              <w:rPr>
                <w:rFonts w:ascii="Arial" w:cs="Arial" w:eastAsia="Arial" w:hAnsi="Arial"/>
                <w:sz w:val="14"/>
                <w:szCs w:val="14"/>
                <w:color w:val="auto"/>
              </w:rPr>
              <w:t>Revenue growth is critically important to our success given</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4260" w:type="dxa"/>
            <w:vAlign w:val="bottom"/>
            <w:vMerge w:val="restart"/>
          </w:tcPr>
          <w:p>
            <w:pPr>
              <w:ind w:left="280"/>
              <w:spacing w:after="0"/>
              <w:rPr>
                <w:sz w:val="20"/>
                <w:szCs w:val="20"/>
                <w:color w:val="auto"/>
              </w:rPr>
            </w:pPr>
            <w:r>
              <w:rPr>
                <w:rFonts w:ascii="Arial" w:cs="Arial" w:eastAsia="Arial" w:hAnsi="Arial"/>
                <w:sz w:val="14"/>
                <w:szCs w:val="14"/>
                <w:color w:val="auto"/>
              </w:rPr>
              <w:t>the operating leverage in our business</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10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14"/>
                <w:szCs w:val="14"/>
                <w:b w:val="1"/>
                <w:bCs w:val="1"/>
                <w:color w:val="auto"/>
              </w:rPr>
              <w:t>Annual Bonus</w:t>
            </w:r>
          </w:p>
        </w:tc>
        <w:tc>
          <w:tcPr>
            <w:tcW w:w="3160" w:type="dxa"/>
            <w:vAlign w:val="bottom"/>
            <w:vMerge w:val="restart"/>
            <w:shd w:val="clear" w:color="auto" w:fill="F1F2F2"/>
          </w:tcPr>
          <w:p>
            <w:pPr>
              <w:ind w:left="160"/>
              <w:spacing w:after="0"/>
              <w:rPr>
                <w:sz w:val="20"/>
                <w:szCs w:val="20"/>
                <w:color w:val="auto"/>
              </w:rPr>
            </w:pPr>
            <w:r>
              <w:rPr>
                <w:rFonts w:ascii="Arial" w:cs="Arial" w:eastAsia="Arial" w:hAnsi="Arial"/>
                <w:sz w:val="14"/>
                <w:szCs w:val="14"/>
                <w:color w:val="auto"/>
              </w:rPr>
              <w:t>Adjusted EPS-COMP (33% weight)</w:t>
            </w:r>
          </w:p>
        </w:tc>
        <w:tc>
          <w:tcPr>
            <w:tcW w:w="4260" w:type="dxa"/>
            <w:vAlign w:val="bottom"/>
            <w:shd w:val="clear" w:color="auto" w:fill="F1F2F2"/>
          </w:tcPr>
          <w:p>
            <w:pPr>
              <w:ind w:left="280"/>
              <w:spacing w:after="0"/>
              <w:rPr>
                <w:sz w:val="20"/>
                <w:szCs w:val="20"/>
                <w:color w:val="auto"/>
              </w:rPr>
            </w:pPr>
            <w:r>
              <w:rPr>
                <w:rFonts w:ascii="Arial" w:cs="Arial" w:eastAsia="Arial" w:hAnsi="Arial"/>
                <w:sz w:val="14"/>
                <w:szCs w:val="14"/>
                <w:color w:val="auto"/>
              </w:rPr>
              <w:t>Earnings per share performance aligns with shareholder</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Equity Incentive</w:t>
            </w:r>
          </w:p>
        </w:tc>
        <w:tc>
          <w:tcPr>
            <w:tcW w:w="3160" w:type="dxa"/>
            <w:vAlign w:val="bottom"/>
            <w:vMerge w:val="continue"/>
            <w:shd w:val="clear" w:color="auto" w:fill="F1F2F2"/>
          </w:tcPr>
          <w:p>
            <w:pPr>
              <w:spacing w:after="0"/>
              <w:rPr>
                <w:sz w:val="8"/>
                <w:szCs w:val="8"/>
                <w:color w:val="auto"/>
              </w:rPr>
            </w:pPr>
          </w:p>
        </w:tc>
        <w:tc>
          <w:tcPr>
            <w:tcW w:w="4260" w:type="dxa"/>
            <w:vAlign w:val="bottom"/>
            <w:vMerge w:val="restart"/>
            <w:shd w:val="clear" w:color="auto" w:fill="F1F2F2"/>
          </w:tcPr>
          <w:p>
            <w:pPr>
              <w:ind w:left="280"/>
              <w:spacing w:after="0"/>
              <w:rPr>
                <w:sz w:val="20"/>
                <w:szCs w:val="20"/>
                <w:color w:val="auto"/>
              </w:rPr>
            </w:pPr>
            <w:r>
              <w:rPr>
                <w:rFonts w:ascii="Arial" w:cs="Arial" w:eastAsia="Arial" w:hAnsi="Arial"/>
                <w:sz w:val="14"/>
                <w:szCs w:val="14"/>
                <w:color w:val="auto"/>
              </w:rPr>
              <w:t>interests</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3160" w:type="dxa"/>
            <w:vAlign w:val="bottom"/>
            <w:shd w:val="clear" w:color="auto" w:fill="F1F2F2"/>
          </w:tcPr>
          <w:p>
            <w:pPr>
              <w:spacing w:after="0"/>
              <w:rPr>
                <w:sz w:val="8"/>
                <w:szCs w:val="8"/>
                <w:color w:val="auto"/>
              </w:rPr>
            </w:pPr>
          </w:p>
        </w:tc>
        <w:tc>
          <w:tcPr>
            <w:tcW w:w="426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160" w:type="dxa"/>
            <w:vAlign w:val="bottom"/>
            <w:shd w:val="clear" w:color="auto" w:fill="F1F2F2"/>
          </w:tcPr>
          <w:p>
            <w:pPr>
              <w:spacing w:after="0"/>
              <w:rPr>
                <w:sz w:val="9"/>
                <w:szCs w:val="9"/>
                <w:color w:val="auto"/>
              </w:rPr>
            </w:pPr>
          </w:p>
        </w:tc>
        <w:tc>
          <w:tcPr>
            <w:tcW w:w="426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60" w:type="dxa"/>
            <w:vAlign w:val="bottom"/>
            <w:vMerge w:val="restart"/>
          </w:tcPr>
          <w:p>
            <w:pPr>
              <w:ind w:left="160"/>
              <w:spacing w:after="0"/>
              <w:rPr>
                <w:sz w:val="20"/>
                <w:szCs w:val="20"/>
                <w:color w:val="auto"/>
              </w:rPr>
            </w:pPr>
            <w:r>
              <w:rPr>
                <w:rFonts w:ascii="Arial" w:cs="Arial" w:eastAsia="Arial" w:hAnsi="Arial"/>
                <w:sz w:val="14"/>
                <w:szCs w:val="14"/>
                <w:color w:val="auto"/>
              </w:rPr>
              <w:t>M&amp;A and Other Transactions (33% weight)</w:t>
            </w:r>
          </w:p>
        </w:tc>
        <w:tc>
          <w:tcPr>
            <w:tcW w:w="4260" w:type="dxa"/>
            <w:vAlign w:val="bottom"/>
          </w:tcPr>
          <w:p>
            <w:pPr>
              <w:ind w:left="280"/>
              <w:spacing w:after="0"/>
              <w:rPr>
                <w:sz w:val="20"/>
                <w:szCs w:val="20"/>
                <w:color w:val="auto"/>
              </w:rPr>
            </w:pPr>
            <w:r>
              <w:rPr>
                <w:rFonts w:ascii="Arial" w:cs="Arial" w:eastAsia="Arial" w:hAnsi="Arial"/>
                <w:sz w:val="14"/>
                <w:szCs w:val="14"/>
                <w:color w:val="auto"/>
              </w:rPr>
              <w:t>We expect M&amp;A and other transactions to continue to</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4260" w:type="dxa"/>
            <w:vAlign w:val="bottom"/>
            <w:vMerge w:val="restart"/>
          </w:tcPr>
          <w:p>
            <w:pPr>
              <w:ind w:left="280"/>
              <w:spacing w:after="0"/>
              <w:rPr>
                <w:sz w:val="20"/>
                <w:szCs w:val="20"/>
                <w:color w:val="auto"/>
              </w:rPr>
            </w:pPr>
            <w:r>
              <w:rPr>
                <w:rFonts w:ascii="Arial" w:cs="Arial" w:eastAsia="Arial" w:hAnsi="Arial"/>
                <w:sz w:val="14"/>
                <w:szCs w:val="14"/>
                <w:color w:val="auto"/>
              </w:rPr>
              <w:t>contribute to growth</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00" w:type="dxa"/>
            <w:vAlign w:val="bottom"/>
            <w:tcBorders>
              <w:bottom w:val="single" w:sz="8" w:color="C43776"/>
            </w:tcBorders>
          </w:tcPr>
          <w:p>
            <w:pPr>
              <w:spacing w:after="0"/>
              <w:rPr>
                <w:sz w:val="10"/>
                <w:szCs w:val="10"/>
                <w:color w:val="auto"/>
              </w:rPr>
            </w:pPr>
          </w:p>
        </w:tc>
        <w:tc>
          <w:tcPr>
            <w:tcW w:w="1560" w:type="dxa"/>
            <w:vAlign w:val="bottom"/>
            <w:tcBorders>
              <w:bottom w:val="single" w:sz="8" w:color="C43776"/>
            </w:tcBorders>
          </w:tcPr>
          <w:p>
            <w:pPr>
              <w:spacing w:after="0"/>
              <w:rPr>
                <w:sz w:val="10"/>
                <w:szCs w:val="10"/>
                <w:color w:val="auto"/>
              </w:rPr>
            </w:pPr>
          </w:p>
        </w:tc>
        <w:tc>
          <w:tcPr>
            <w:tcW w:w="3160" w:type="dxa"/>
            <w:vAlign w:val="bottom"/>
            <w:tcBorders>
              <w:bottom w:val="single" w:sz="8" w:color="C43776"/>
            </w:tcBorders>
          </w:tcPr>
          <w:p>
            <w:pPr>
              <w:spacing w:after="0"/>
              <w:rPr>
                <w:sz w:val="10"/>
                <w:szCs w:val="10"/>
                <w:color w:val="auto"/>
              </w:rPr>
            </w:pPr>
          </w:p>
        </w:tc>
        <w:tc>
          <w:tcPr>
            <w:tcW w:w="4260" w:type="dxa"/>
            <w:vAlign w:val="bottom"/>
            <w:tcBorders>
              <w:bottom w:val="single" w:sz="8" w:color="C4377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table below summarizes the targeted value and target number of shares of the Annual Bonus Equity Incentive granted to each participating NEO in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4380" w:type="dxa"/>
            <w:vAlign w:val="bottom"/>
            <w:shd w:val="clear" w:color="auto" w:fill="C43776"/>
          </w:tcPr>
          <w:p>
            <w:pPr>
              <w:spacing w:after="0"/>
              <w:rPr>
                <w:sz w:val="24"/>
                <w:szCs w:val="24"/>
                <w:color w:val="auto"/>
              </w:rPr>
            </w:pPr>
          </w:p>
        </w:tc>
        <w:tc>
          <w:tcPr>
            <w:tcW w:w="2900" w:type="dxa"/>
            <w:vAlign w:val="bottom"/>
            <w:shd w:val="clear" w:color="auto" w:fill="C43776"/>
          </w:tcPr>
          <w:p>
            <w:pPr>
              <w:jc w:val="right"/>
              <w:ind w:right="588"/>
              <w:spacing w:after="0"/>
              <w:rPr>
                <w:sz w:val="20"/>
                <w:szCs w:val="20"/>
                <w:color w:val="auto"/>
              </w:rPr>
            </w:pPr>
            <w:r>
              <w:rPr>
                <w:rFonts w:ascii="Arial" w:cs="Arial" w:eastAsia="Arial" w:hAnsi="Arial"/>
                <w:sz w:val="14"/>
                <w:szCs w:val="14"/>
                <w:b w:val="1"/>
                <w:bCs w:val="1"/>
                <w:color w:val="FFFFFF"/>
              </w:rPr>
              <w:t>Target Value of</w:t>
            </w:r>
          </w:p>
        </w:tc>
        <w:tc>
          <w:tcPr>
            <w:tcW w:w="180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Target Number</w:t>
            </w:r>
          </w:p>
        </w:tc>
      </w:tr>
      <w:tr>
        <w:trPr>
          <w:trHeight w:val="178"/>
        </w:trPr>
        <w:tc>
          <w:tcPr>
            <w:tcW w:w="4380" w:type="dxa"/>
            <w:vAlign w:val="bottom"/>
            <w:shd w:val="clear" w:color="auto" w:fill="C43776"/>
          </w:tcPr>
          <w:p>
            <w:pPr>
              <w:spacing w:after="0"/>
              <w:rPr>
                <w:sz w:val="15"/>
                <w:szCs w:val="15"/>
                <w:color w:val="auto"/>
              </w:rPr>
            </w:pPr>
          </w:p>
        </w:tc>
        <w:tc>
          <w:tcPr>
            <w:tcW w:w="2900" w:type="dxa"/>
            <w:vAlign w:val="bottom"/>
            <w:shd w:val="clear" w:color="auto" w:fill="C43776"/>
          </w:tcPr>
          <w:p>
            <w:pPr>
              <w:jc w:val="right"/>
              <w:ind w:right="568"/>
              <w:spacing w:after="0"/>
              <w:rPr>
                <w:sz w:val="20"/>
                <w:szCs w:val="20"/>
                <w:color w:val="auto"/>
              </w:rPr>
            </w:pPr>
            <w:r>
              <w:rPr>
                <w:rFonts w:ascii="Arial" w:cs="Arial" w:eastAsia="Arial" w:hAnsi="Arial"/>
                <w:sz w:val="14"/>
                <w:szCs w:val="14"/>
                <w:b w:val="1"/>
                <w:bCs w:val="1"/>
                <w:color w:val="FFFFFF"/>
              </w:rPr>
              <w:t>Annual Bonus Equity Incentive</w:t>
            </w:r>
          </w:p>
        </w:tc>
        <w:tc>
          <w:tcPr>
            <w:tcW w:w="1800" w:type="dxa"/>
            <w:vAlign w:val="bottom"/>
            <w:shd w:val="clear" w:color="auto" w:fill="C43776"/>
          </w:tcPr>
          <w:p>
            <w:pPr>
              <w:jc w:val="right"/>
              <w:ind w:right="68"/>
              <w:spacing w:after="0" w:line="178" w:lineRule="exact"/>
              <w:rPr>
                <w:sz w:val="20"/>
                <w:szCs w:val="20"/>
                <w:color w:val="auto"/>
              </w:rPr>
            </w:pPr>
            <w:r>
              <w:rPr>
                <w:rFonts w:ascii="Arial" w:cs="Arial" w:eastAsia="Arial" w:hAnsi="Arial"/>
                <w:sz w:val="14"/>
                <w:szCs w:val="14"/>
                <w:b w:val="1"/>
                <w:bCs w:val="1"/>
                <w:color w:val="FFFFFF"/>
              </w:rPr>
              <w:t>of Shares</w:t>
            </w:r>
            <w:r>
              <w:rPr>
                <w:rFonts w:ascii="Arial" w:cs="Arial" w:eastAsia="Arial" w:hAnsi="Arial"/>
                <w:sz w:val="18"/>
                <w:szCs w:val="18"/>
                <w:b w:val="1"/>
                <w:bCs w:val="1"/>
                <w:color w:val="FFFFFF"/>
                <w:vertAlign w:val="superscript"/>
              </w:rPr>
              <w:t>(1)</w:t>
            </w:r>
          </w:p>
        </w:tc>
      </w:tr>
      <w:tr>
        <w:trPr>
          <w:trHeight w:val="185"/>
        </w:trPr>
        <w:tc>
          <w:tcPr>
            <w:tcW w:w="438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900" w:type="dxa"/>
            <w:vAlign w:val="bottom"/>
            <w:shd w:val="clear" w:color="auto" w:fill="C43776"/>
          </w:tcPr>
          <w:p>
            <w:pPr>
              <w:jc w:val="right"/>
              <w:ind w:right="568"/>
              <w:spacing w:after="0"/>
              <w:rPr>
                <w:sz w:val="20"/>
                <w:szCs w:val="20"/>
                <w:color w:val="auto"/>
              </w:rPr>
            </w:pPr>
            <w:r>
              <w:rPr>
                <w:rFonts w:ascii="Arial" w:cs="Arial" w:eastAsia="Arial" w:hAnsi="Arial"/>
                <w:sz w:val="14"/>
                <w:szCs w:val="14"/>
                <w:b w:val="1"/>
                <w:bCs w:val="1"/>
                <w:color w:val="FFFFFF"/>
              </w:rPr>
              <w:t>($)</w:t>
            </w:r>
          </w:p>
        </w:tc>
        <w:tc>
          <w:tcPr>
            <w:tcW w:w="18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5"/>
        </w:trPr>
        <w:tc>
          <w:tcPr>
            <w:tcW w:w="4380" w:type="dxa"/>
            <w:vAlign w:val="bottom"/>
            <w:shd w:val="clear" w:color="auto" w:fill="C43776"/>
          </w:tcPr>
          <w:p>
            <w:pPr>
              <w:spacing w:after="0"/>
              <w:rPr>
                <w:sz w:val="8"/>
                <w:szCs w:val="8"/>
                <w:color w:val="auto"/>
              </w:rPr>
            </w:pPr>
          </w:p>
        </w:tc>
        <w:tc>
          <w:tcPr>
            <w:tcW w:w="2900" w:type="dxa"/>
            <w:vAlign w:val="bottom"/>
            <w:shd w:val="clear" w:color="auto" w:fill="C43776"/>
          </w:tcPr>
          <w:p>
            <w:pPr>
              <w:spacing w:after="0"/>
              <w:rPr>
                <w:sz w:val="8"/>
                <w:szCs w:val="8"/>
                <w:color w:val="auto"/>
              </w:rPr>
            </w:pPr>
          </w:p>
        </w:tc>
        <w:tc>
          <w:tcPr>
            <w:tcW w:w="1800" w:type="dxa"/>
            <w:vAlign w:val="bottom"/>
            <w:shd w:val="clear" w:color="auto" w:fill="C43776"/>
          </w:tcPr>
          <w:p>
            <w:pPr>
              <w:spacing w:after="0"/>
              <w:rPr>
                <w:sz w:val="8"/>
                <w:szCs w:val="8"/>
                <w:color w:val="auto"/>
              </w:rPr>
            </w:pPr>
          </w:p>
        </w:tc>
      </w:tr>
      <w:tr>
        <w:trPr>
          <w:trHeight w:val="281"/>
        </w:trPr>
        <w:tc>
          <w:tcPr>
            <w:tcW w:w="438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2900" w:type="dxa"/>
            <w:vAlign w:val="bottom"/>
          </w:tcPr>
          <w:p>
            <w:pPr>
              <w:jc w:val="right"/>
              <w:ind w:right="568"/>
              <w:spacing w:after="0"/>
              <w:rPr>
                <w:sz w:val="20"/>
                <w:szCs w:val="20"/>
                <w:color w:val="auto"/>
              </w:rPr>
            </w:pPr>
            <w:r>
              <w:rPr>
                <w:rFonts w:ascii="Arial" w:cs="Arial" w:eastAsia="Arial" w:hAnsi="Arial"/>
                <w:sz w:val="14"/>
                <w:szCs w:val="14"/>
                <w:color w:val="auto"/>
              </w:rPr>
              <w:t>2,000,000</w:t>
            </w:r>
          </w:p>
        </w:tc>
        <w:tc>
          <w:tcPr>
            <w:tcW w:w="1800" w:type="dxa"/>
            <w:vAlign w:val="bottom"/>
          </w:tcPr>
          <w:p>
            <w:pPr>
              <w:jc w:val="right"/>
              <w:ind w:right="88"/>
              <w:spacing w:after="0"/>
              <w:rPr>
                <w:sz w:val="20"/>
                <w:szCs w:val="20"/>
                <w:color w:val="auto"/>
              </w:rPr>
            </w:pPr>
            <w:r>
              <w:rPr>
                <w:rFonts w:ascii="Arial" w:cs="Arial" w:eastAsia="Arial" w:hAnsi="Arial"/>
                <w:sz w:val="14"/>
                <w:szCs w:val="14"/>
                <w:color w:val="auto"/>
              </w:rPr>
              <w:t>5,301</w:t>
            </w:r>
          </w:p>
        </w:tc>
      </w:tr>
      <w:tr>
        <w:trPr>
          <w:trHeight w:val="29"/>
        </w:trPr>
        <w:tc>
          <w:tcPr>
            <w:tcW w:w="43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310"/>
        </w:trPr>
        <w:tc>
          <w:tcPr>
            <w:tcW w:w="438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r>
              <w:rPr>
                <w:rFonts w:ascii="Arial" w:cs="Arial" w:eastAsia="Arial" w:hAnsi="Arial"/>
                <w:sz w:val="18"/>
                <w:szCs w:val="18"/>
                <w:b w:val="1"/>
                <w:bCs w:val="1"/>
                <w:color w:val="auto"/>
                <w:vertAlign w:val="superscript"/>
              </w:rPr>
              <w:t>(2)</w:t>
            </w:r>
          </w:p>
        </w:tc>
        <w:tc>
          <w:tcPr>
            <w:tcW w:w="2900" w:type="dxa"/>
            <w:vAlign w:val="bottom"/>
            <w:shd w:val="clear" w:color="auto" w:fill="F1F2F2"/>
          </w:tcPr>
          <w:p>
            <w:pPr>
              <w:jc w:val="right"/>
              <w:ind w:right="588"/>
              <w:spacing w:after="0"/>
              <w:rPr>
                <w:sz w:val="20"/>
                <w:szCs w:val="20"/>
                <w:color w:val="auto"/>
              </w:rPr>
            </w:pPr>
            <w:r>
              <w:rPr>
                <w:rFonts w:ascii="Arial" w:cs="Arial" w:eastAsia="Arial" w:hAnsi="Arial"/>
                <w:sz w:val="14"/>
                <w:szCs w:val="14"/>
                <w:color w:val="auto"/>
              </w:rPr>
              <w:t>—</w:t>
            </w:r>
          </w:p>
        </w:tc>
        <w:tc>
          <w:tcPr>
            <w:tcW w:w="18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82"/>
        </w:trPr>
        <w:tc>
          <w:tcPr>
            <w:tcW w:w="438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2900" w:type="dxa"/>
            <w:vAlign w:val="bottom"/>
          </w:tcPr>
          <w:p>
            <w:pPr>
              <w:jc w:val="right"/>
              <w:ind w:right="568"/>
              <w:spacing w:after="0"/>
              <w:rPr>
                <w:sz w:val="20"/>
                <w:szCs w:val="20"/>
                <w:color w:val="auto"/>
              </w:rPr>
            </w:pPr>
            <w:r>
              <w:rPr>
                <w:rFonts w:ascii="Arial" w:cs="Arial" w:eastAsia="Arial" w:hAnsi="Arial"/>
                <w:sz w:val="14"/>
                <w:szCs w:val="14"/>
                <w:color w:val="auto"/>
              </w:rPr>
              <w:t>90,000</w:t>
            </w:r>
          </w:p>
        </w:tc>
        <w:tc>
          <w:tcPr>
            <w:tcW w:w="1800" w:type="dxa"/>
            <w:vAlign w:val="bottom"/>
          </w:tcPr>
          <w:p>
            <w:pPr>
              <w:jc w:val="right"/>
              <w:ind w:right="88"/>
              <w:spacing w:after="0"/>
              <w:rPr>
                <w:sz w:val="20"/>
                <w:szCs w:val="20"/>
                <w:color w:val="auto"/>
              </w:rPr>
            </w:pPr>
            <w:r>
              <w:rPr>
                <w:rFonts w:ascii="Arial" w:cs="Arial" w:eastAsia="Arial" w:hAnsi="Arial"/>
                <w:sz w:val="14"/>
                <w:szCs w:val="14"/>
                <w:color w:val="auto"/>
              </w:rPr>
              <w:t>293</w:t>
            </w:r>
          </w:p>
        </w:tc>
      </w:tr>
      <w:tr>
        <w:trPr>
          <w:trHeight w:val="29"/>
        </w:trPr>
        <w:tc>
          <w:tcPr>
            <w:tcW w:w="43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0"/>
        </w:trPr>
        <w:tc>
          <w:tcPr>
            <w:tcW w:w="438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2900" w:type="dxa"/>
            <w:vAlign w:val="bottom"/>
            <w:tcBorders>
              <w:bottom w:val="single" w:sz="8" w:color="F1F2F2"/>
            </w:tcBorders>
            <w:shd w:val="clear" w:color="auto" w:fill="F1F2F2"/>
          </w:tcPr>
          <w:p>
            <w:pPr>
              <w:jc w:val="right"/>
              <w:ind w:right="568"/>
              <w:spacing w:after="0"/>
              <w:rPr>
                <w:sz w:val="20"/>
                <w:szCs w:val="20"/>
                <w:color w:val="auto"/>
              </w:rPr>
            </w:pPr>
            <w:r>
              <w:rPr>
                <w:rFonts w:ascii="Arial" w:cs="Arial" w:eastAsia="Arial" w:hAnsi="Arial"/>
                <w:sz w:val="14"/>
                <w:szCs w:val="14"/>
                <w:color w:val="auto"/>
              </w:rPr>
              <w:t>550,000</w:t>
            </w:r>
          </w:p>
        </w:tc>
        <w:tc>
          <w:tcPr>
            <w:tcW w:w="18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1,458</w:t>
            </w:r>
          </w:p>
        </w:tc>
      </w:tr>
      <w:tr>
        <w:trPr>
          <w:trHeight w:val="282"/>
        </w:trPr>
        <w:tc>
          <w:tcPr>
            <w:tcW w:w="438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2900" w:type="dxa"/>
            <w:vAlign w:val="bottom"/>
          </w:tcPr>
          <w:p>
            <w:pPr>
              <w:jc w:val="right"/>
              <w:ind w:right="568"/>
              <w:spacing w:after="0"/>
              <w:rPr>
                <w:sz w:val="20"/>
                <w:szCs w:val="20"/>
                <w:color w:val="auto"/>
              </w:rPr>
            </w:pPr>
            <w:r>
              <w:rPr>
                <w:rFonts w:ascii="Arial" w:cs="Arial" w:eastAsia="Arial" w:hAnsi="Arial"/>
                <w:sz w:val="14"/>
                <w:szCs w:val="14"/>
                <w:color w:val="auto"/>
              </w:rPr>
              <w:t>450,000</w:t>
            </w:r>
          </w:p>
        </w:tc>
        <w:tc>
          <w:tcPr>
            <w:tcW w:w="1800" w:type="dxa"/>
            <w:vAlign w:val="bottom"/>
          </w:tcPr>
          <w:p>
            <w:pPr>
              <w:jc w:val="right"/>
              <w:ind w:right="88"/>
              <w:spacing w:after="0"/>
              <w:rPr>
                <w:sz w:val="20"/>
                <w:szCs w:val="20"/>
                <w:color w:val="auto"/>
              </w:rPr>
            </w:pPr>
            <w:r>
              <w:rPr>
                <w:rFonts w:ascii="Arial" w:cs="Arial" w:eastAsia="Arial" w:hAnsi="Arial"/>
                <w:sz w:val="14"/>
                <w:szCs w:val="14"/>
                <w:color w:val="auto"/>
              </w:rPr>
              <w:t>1,193</w:t>
            </w:r>
          </w:p>
        </w:tc>
      </w:tr>
      <w:tr>
        <w:trPr>
          <w:trHeight w:val="29"/>
        </w:trPr>
        <w:tc>
          <w:tcPr>
            <w:tcW w:w="4380" w:type="dxa"/>
            <w:vAlign w:val="bottom"/>
            <w:tcBorders>
              <w:bottom w:val="single" w:sz="8" w:color="C43776"/>
            </w:tcBorders>
          </w:tcPr>
          <w:p>
            <w:pPr>
              <w:spacing w:after="0"/>
              <w:rPr>
                <w:sz w:val="2"/>
                <w:szCs w:val="2"/>
                <w:color w:val="auto"/>
              </w:rPr>
            </w:pPr>
          </w:p>
        </w:tc>
        <w:tc>
          <w:tcPr>
            <w:tcW w:w="2900" w:type="dxa"/>
            <w:vAlign w:val="bottom"/>
            <w:tcBorders>
              <w:bottom w:val="single" w:sz="8" w:color="C43776"/>
            </w:tcBorders>
          </w:tcPr>
          <w:p>
            <w:pPr>
              <w:spacing w:after="0"/>
              <w:rPr>
                <w:sz w:val="2"/>
                <w:szCs w:val="2"/>
                <w:color w:val="auto"/>
              </w:rPr>
            </w:pPr>
          </w:p>
        </w:tc>
        <w:tc>
          <w:tcPr>
            <w:tcW w:w="1800" w:type="dxa"/>
            <w:vAlign w:val="bottom"/>
            <w:tcBorders>
              <w:bottom w:val="single" w:sz="8" w:color="C43776"/>
            </w:tcBorders>
          </w:tcPr>
          <w:p>
            <w:pPr>
              <w:spacing w:after="0"/>
              <w:rPr>
                <w:sz w:val="2"/>
                <w:szCs w:val="2"/>
                <w:color w:val="auto"/>
              </w:rPr>
            </w:pPr>
          </w:p>
        </w:tc>
      </w:tr>
    </w:tbl>
    <w:p>
      <w:pPr>
        <w:spacing w:after="0" w:line="106" w:lineRule="exact"/>
        <w:rPr>
          <w:sz w:val="20"/>
          <w:szCs w:val="20"/>
          <w:color w:val="auto"/>
        </w:rPr>
      </w:pPr>
    </w:p>
    <w:p>
      <w:pPr>
        <w:ind w:left="340" w:right="40" w:hanging="332"/>
        <w:spacing w:after="0" w:line="260" w:lineRule="auto"/>
        <w:tabs>
          <w:tab w:leader="none" w:pos="340" w:val="left"/>
        </w:tabs>
        <w:numPr>
          <w:ilvl w:val="0"/>
          <w:numId w:val="34"/>
        </w:numPr>
        <w:rPr>
          <w:rFonts w:ascii="Arial" w:cs="Arial" w:eastAsia="Arial" w:hAnsi="Arial"/>
          <w:sz w:val="13"/>
          <w:szCs w:val="13"/>
          <w:i w:val="1"/>
          <w:iCs w:val="1"/>
          <w:color w:val="auto"/>
        </w:rPr>
      </w:pPr>
      <w:r>
        <w:rPr>
          <w:rFonts w:ascii="Arial" w:cs="Arial" w:eastAsia="Arial" w:hAnsi="Arial"/>
          <w:sz w:val="13"/>
          <w:szCs w:val="13"/>
          <w:i w:val="1"/>
          <w:iCs w:val="1"/>
          <w:color w:val="auto"/>
        </w:rPr>
        <w:t>For Messrs. Clarke, Netto and King, the target number of shares was calculated by dividing the targeted dollar value by the closing share price as of the grant date on February 14, 2025 ($377.31), rounding up to the next whole share. For Ms. Vickery, the target number of shares was calculated by dividing the targeted dollar value by the closing share price as of the grant date on April 22, 2025 ($307.77), rounding up to the next whole share.</w:t>
      </w:r>
    </w:p>
    <w:p>
      <w:pPr>
        <w:spacing w:after="0" w:line="27" w:lineRule="exact"/>
        <w:rPr>
          <w:rFonts w:ascii="Arial" w:cs="Arial" w:eastAsia="Arial" w:hAnsi="Arial"/>
          <w:sz w:val="13"/>
          <w:szCs w:val="13"/>
          <w:i w:val="1"/>
          <w:iCs w:val="1"/>
          <w:color w:val="auto"/>
        </w:rPr>
      </w:pPr>
    </w:p>
    <w:p>
      <w:pPr>
        <w:ind w:left="340" w:hanging="332"/>
        <w:spacing w:after="0"/>
        <w:tabs>
          <w:tab w:leader="none" w:pos="340" w:val="left"/>
        </w:tabs>
        <w:numPr>
          <w:ilvl w:val="0"/>
          <w:numId w:val="34"/>
        </w:numPr>
        <w:rPr>
          <w:rFonts w:ascii="Arial" w:cs="Arial" w:eastAsia="Arial" w:hAnsi="Arial"/>
          <w:sz w:val="12"/>
          <w:szCs w:val="12"/>
          <w:i w:val="1"/>
          <w:iCs w:val="1"/>
          <w:color w:val="auto"/>
        </w:rPr>
      </w:pPr>
      <w:r>
        <w:rPr>
          <w:rFonts w:ascii="Arial" w:cs="Arial" w:eastAsia="Arial" w:hAnsi="Arial"/>
          <w:sz w:val="12"/>
          <w:szCs w:val="12"/>
          <w:i w:val="1"/>
          <w:iCs w:val="1"/>
          <w:color w:val="auto"/>
        </w:rPr>
        <w:t>In lieu of an Annual Bonus Equity Incentive, Mr. Walker received an additional Time-Based Equity award in connection with his hire,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32</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69" w:right="1419" w:bottom="1440" w:gutter="0" w:footer="0" w:header="0"/>
        </w:sectPr>
      </w:pPr>
    </w:p>
    <w:bookmarkStart w:id="38" w:name="page39"/>
    <w:bookmarkEnd w:id="38"/>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 xml:space="preserve">For information concerning Annual Bonus Equity Incentive performance metrics used for the other participating NEOs’ Annual Bonus Equity Incentive and the resulting payout levels for all participating NEOs, </w:t>
      </w:r>
      <w:r>
        <w:rPr>
          <w:rFonts w:ascii="Arial" w:cs="Arial" w:eastAsia="Arial" w:hAnsi="Arial"/>
          <w:sz w:val="16"/>
          <w:szCs w:val="16"/>
          <w:color w:val="auto"/>
          <w:highlight w:val="white"/>
        </w:rPr>
        <w:t>see “</w:t>
      </w:r>
      <w:r>
        <w:rPr>
          <w:rFonts w:ascii="Arial" w:cs="Arial" w:eastAsia="Arial" w:hAnsi="Arial"/>
          <w:sz w:val="16"/>
          <w:szCs w:val="16"/>
          <w:color w:val="auto"/>
        </w:rPr>
        <w:t>Compensation Discussion and Analysis —Key Elements of 2025 Named Executive Officer Compensation—2025 Performance-Based Equity Goals and Payout Results” below.</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Equity Incentive</w:t>
      </w:r>
    </w:p>
    <w:p>
      <w:pPr>
        <w:spacing w:after="0" w:line="16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In 2025, the compensation committee granted Long-Term Equity Incentives to some of the NEOs tied to achievement of corporate or business unit goals.</w:t>
      </w:r>
    </w:p>
    <w:p>
      <w:pPr>
        <w:spacing w:after="0" w:line="11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recognition of shareholder feedback indicating a desire for longer performance measurement periods, the target amounts were allocated 70% to grants subject to one-year performance periods with ratable vesting over a three-year service period, to the extent earned, and 30% to grants subject to three-year performance periods with three-year cliff vesting, to the extent earned.</w:t>
      </w:r>
    </w:p>
    <w:p>
      <w:pPr>
        <w:spacing w:after="0" w:line="119"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table below summarizes the targeted value and target number of shares granted to each participating NEO in 2025 for the one-year performance period with ratable vesting over a three-year service period: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4860" w:type="dxa"/>
            <w:vAlign w:val="bottom"/>
            <w:shd w:val="clear" w:color="auto" w:fill="C43776"/>
          </w:tcPr>
          <w:p>
            <w:pPr>
              <w:spacing w:after="0"/>
              <w:rPr>
                <w:sz w:val="24"/>
                <w:szCs w:val="24"/>
                <w:color w:val="auto"/>
              </w:rPr>
            </w:pPr>
          </w:p>
        </w:tc>
        <w:tc>
          <w:tcPr>
            <w:tcW w:w="2540" w:type="dxa"/>
            <w:vAlign w:val="bottom"/>
            <w:shd w:val="clear" w:color="auto" w:fill="C43776"/>
          </w:tcPr>
          <w:p>
            <w:pPr>
              <w:jc w:val="right"/>
              <w:ind w:right="488"/>
              <w:spacing w:after="0"/>
              <w:rPr>
                <w:sz w:val="20"/>
                <w:szCs w:val="20"/>
                <w:color w:val="auto"/>
              </w:rPr>
            </w:pPr>
            <w:r>
              <w:rPr>
                <w:rFonts w:ascii="Arial" w:cs="Arial" w:eastAsia="Arial" w:hAnsi="Arial"/>
                <w:sz w:val="14"/>
                <w:szCs w:val="14"/>
                <w:b w:val="1"/>
                <w:bCs w:val="1"/>
                <w:color w:val="FFFFFF"/>
              </w:rPr>
              <w:t>Target Value of 1-Year</w:t>
            </w:r>
          </w:p>
        </w:tc>
        <w:tc>
          <w:tcPr>
            <w:tcW w:w="168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Target Number</w:t>
            </w:r>
          </w:p>
        </w:tc>
      </w:tr>
      <w:tr>
        <w:trPr>
          <w:trHeight w:val="178"/>
        </w:trPr>
        <w:tc>
          <w:tcPr>
            <w:tcW w:w="4860" w:type="dxa"/>
            <w:vAlign w:val="bottom"/>
            <w:shd w:val="clear" w:color="auto" w:fill="C43776"/>
          </w:tcPr>
          <w:p>
            <w:pPr>
              <w:spacing w:after="0"/>
              <w:rPr>
                <w:sz w:val="15"/>
                <w:szCs w:val="15"/>
                <w:color w:val="auto"/>
              </w:rPr>
            </w:pPr>
          </w:p>
        </w:tc>
        <w:tc>
          <w:tcPr>
            <w:tcW w:w="2540" w:type="dxa"/>
            <w:vAlign w:val="bottom"/>
            <w:shd w:val="clear" w:color="auto" w:fill="C43776"/>
          </w:tcPr>
          <w:p>
            <w:pPr>
              <w:jc w:val="right"/>
              <w:ind w:right="468"/>
              <w:spacing w:after="0"/>
              <w:rPr>
                <w:sz w:val="20"/>
                <w:szCs w:val="20"/>
                <w:color w:val="auto"/>
              </w:rPr>
            </w:pPr>
            <w:r>
              <w:rPr>
                <w:rFonts w:ascii="Arial" w:cs="Arial" w:eastAsia="Arial" w:hAnsi="Arial"/>
                <w:sz w:val="14"/>
                <w:szCs w:val="14"/>
                <w:b w:val="1"/>
                <w:bCs w:val="1"/>
                <w:color w:val="FFFFFF"/>
              </w:rPr>
              <w:t>Long-Term Equity Incentive</w:t>
            </w:r>
          </w:p>
        </w:tc>
        <w:tc>
          <w:tcPr>
            <w:tcW w:w="1680" w:type="dxa"/>
            <w:vAlign w:val="bottom"/>
            <w:shd w:val="clear" w:color="auto" w:fill="C43776"/>
          </w:tcPr>
          <w:p>
            <w:pPr>
              <w:jc w:val="right"/>
              <w:ind w:right="68"/>
              <w:spacing w:after="0" w:line="178" w:lineRule="exact"/>
              <w:rPr>
                <w:sz w:val="20"/>
                <w:szCs w:val="20"/>
                <w:color w:val="auto"/>
              </w:rPr>
            </w:pPr>
            <w:r>
              <w:rPr>
                <w:rFonts w:ascii="Arial" w:cs="Arial" w:eastAsia="Arial" w:hAnsi="Arial"/>
                <w:sz w:val="14"/>
                <w:szCs w:val="14"/>
                <w:b w:val="1"/>
                <w:bCs w:val="1"/>
                <w:color w:val="FFFFFF"/>
              </w:rPr>
              <w:t>of Shares</w:t>
            </w:r>
            <w:r>
              <w:rPr>
                <w:rFonts w:ascii="Arial" w:cs="Arial" w:eastAsia="Arial" w:hAnsi="Arial"/>
                <w:sz w:val="18"/>
                <w:szCs w:val="18"/>
                <w:b w:val="1"/>
                <w:bCs w:val="1"/>
                <w:color w:val="FFFFFF"/>
                <w:vertAlign w:val="superscript"/>
              </w:rPr>
              <w:t>(1)</w:t>
            </w:r>
          </w:p>
        </w:tc>
      </w:tr>
      <w:tr>
        <w:trPr>
          <w:trHeight w:val="185"/>
        </w:trPr>
        <w:tc>
          <w:tcPr>
            <w:tcW w:w="486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540" w:type="dxa"/>
            <w:vAlign w:val="bottom"/>
            <w:shd w:val="clear" w:color="auto" w:fill="C43776"/>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4"/>
        </w:trPr>
        <w:tc>
          <w:tcPr>
            <w:tcW w:w="4860" w:type="dxa"/>
            <w:vAlign w:val="bottom"/>
            <w:shd w:val="clear" w:color="auto" w:fill="C43776"/>
          </w:tcPr>
          <w:p>
            <w:pPr>
              <w:spacing w:after="0"/>
              <w:rPr>
                <w:sz w:val="8"/>
                <w:szCs w:val="8"/>
                <w:color w:val="auto"/>
              </w:rPr>
            </w:pPr>
          </w:p>
        </w:tc>
        <w:tc>
          <w:tcPr>
            <w:tcW w:w="2540" w:type="dxa"/>
            <w:vAlign w:val="bottom"/>
            <w:shd w:val="clear" w:color="auto" w:fill="C43776"/>
          </w:tcPr>
          <w:p>
            <w:pPr>
              <w:spacing w:after="0"/>
              <w:rPr>
                <w:sz w:val="8"/>
                <w:szCs w:val="8"/>
                <w:color w:val="auto"/>
              </w:rPr>
            </w:pPr>
          </w:p>
        </w:tc>
        <w:tc>
          <w:tcPr>
            <w:tcW w:w="1680" w:type="dxa"/>
            <w:vAlign w:val="bottom"/>
            <w:shd w:val="clear" w:color="auto" w:fill="C43776"/>
          </w:tcPr>
          <w:p>
            <w:pPr>
              <w:spacing w:after="0"/>
              <w:rPr>
                <w:sz w:val="8"/>
                <w:szCs w:val="8"/>
                <w:color w:val="auto"/>
              </w:rPr>
            </w:pPr>
          </w:p>
        </w:tc>
      </w:tr>
      <w:tr>
        <w:trPr>
          <w:trHeight w:val="254"/>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9"/>
        </w:trPr>
        <w:tc>
          <w:tcPr>
            <w:tcW w:w="4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2540" w:type="dxa"/>
            <w:vAlign w:val="bottom"/>
            <w:tcBorders>
              <w:bottom w:val="single" w:sz="8" w:color="F1F2F2"/>
            </w:tcBorders>
            <w:shd w:val="clear" w:color="auto" w:fill="F1F2F2"/>
          </w:tcPr>
          <w:p>
            <w:pPr>
              <w:jc w:val="right"/>
              <w:ind w:right="468"/>
              <w:spacing w:after="0"/>
              <w:rPr>
                <w:sz w:val="20"/>
                <w:szCs w:val="20"/>
                <w:color w:val="auto"/>
              </w:rPr>
            </w:pPr>
            <w:r>
              <w:rPr>
                <w:rFonts w:ascii="Arial" w:cs="Arial" w:eastAsia="Arial" w:hAnsi="Arial"/>
                <w:sz w:val="14"/>
                <w:szCs w:val="14"/>
                <w:color w:val="auto"/>
              </w:rPr>
              <w:t>385,000</w:t>
            </w:r>
          </w:p>
        </w:tc>
        <w:tc>
          <w:tcPr>
            <w:tcW w:w="16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1,205</w:t>
            </w:r>
          </w:p>
        </w:tc>
      </w:tr>
      <w:tr>
        <w:trPr>
          <w:trHeight w:val="254"/>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9"/>
        </w:trPr>
        <w:tc>
          <w:tcPr>
            <w:tcW w:w="48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3"/>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2540" w:type="dxa"/>
            <w:vAlign w:val="bottom"/>
            <w:tcBorders>
              <w:bottom w:val="single" w:sz="8" w:color="F1F2F2"/>
            </w:tcBorders>
            <w:shd w:val="clear" w:color="auto" w:fill="F1F2F2"/>
          </w:tcPr>
          <w:p>
            <w:pPr>
              <w:jc w:val="right"/>
              <w:ind w:right="468"/>
              <w:spacing w:after="0"/>
              <w:rPr>
                <w:sz w:val="20"/>
                <w:szCs w:val="20"/>
                <w:color w:val="auto"/>
              </w:rPr>
            </w:pPr>
            <w:r>
              <w:rPr>
                <w:rFonts w:ascii="Arial" w:cs="Arial" w:eastAsia="Arial" w:hAnsi="Arial"/>
                <w:sz w:val="14"/>
                <w:szCs w:val="14"/>
                <w:color w:val="auto"/>
              </w:rPr>
              <w:t>840,000</w:t>
            </w:r>
          </w:p>
        </w:tc>
        <w:tc>
          <w:tcPr>
            <w:tcW w:w="16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2,227</w:t>
            </w:r>
          </w:p>
        </w:tc>
      </w:tr>
      <w:tr>
        <w:trPr>
          <w:trHeight w:val="255"/>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560,000</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1,485</w:t>
            </w:r>
          </w:p>
        </w:tc>
      </w:tr>
      <w:tr>
        <w:trPr>
          <w:trHeight w:val="29"/>
        </w:trPr>
        <w:tc>
          <w:tcPr>
            <w:tcW w:w="4860" w:type="dxa"/>
            <w:vAlign w:val="bottom"/>
            <w:tcBorders>
              <w:bottom w:val="single" w:sz="8" w:color="C43776"/>
            </w:tcBorders>
          </w:tcPr>
          <w:p>
            <w:pPr>
              <w:spacing w:after="0"/>
              <w:rPr>
                <w:sz w:val="2"/>
                <w:szCs w:val="2"/>
                <w:color w:val="auto"/>
              </w:rPr>
            </w:pPr>
          </w:p>
        </w:tc>
        <w:tc>
          <w:tcPr>
            <w:tcW w:w="2540" w:type="dxa"/>
            <w:vAlign w:val="bottom"/>
            <w:tcBorders>
              <w:bottom w:val="single" w:sz="8" w:color="C43776"/>
            </w:tcBorders>
          </w:tcPr>
          <w:p>
            <w:pPr>
              <w:spacing w:after="0"/>
              <w:rPr>
                <w:sz w:val="2"/>
                <w:szCs w:val="2"/>
                <w:color w:val="auto"/>
              </w:rPr>
            </w:pPr>
          </w:p>
        </w:tc>
        <w:tc>
          <w:tcPr>
            <w:tcW w:w="1680" w:type="dxa"/>
            <w:vAlign w:val="bottom"/>
            <w:tcBorders>
              <w:bottom w:val="single" w:sz="8" w:color="C43776"/>
            </w:tcBorders>
          </w:tcPr>
          <w:p>
            <w:pPr>
              <w:spacing w:after="0"/>
              <w:rPr>
                <w:sz w:val="2"/>
                <w:szCs w:val="2"/>
                <w:color w:val="auto"/>
              </w:rPr>
            </w:pPr>
          </w:p>
        </w:tc>
      </w:tr>
    </w:tbl>
    <w:p>
      <w:pPr>
        <w:spacing w:after="0" w:line="106" w:lineRule="exact"/>
        <w:rPr>
          <w:sz w:val="20"/>
          <w:szCs w:val="20"/>
          <w:color w:val="auto"/>
        </w:rPr>
      </w:pPr>
    </w:p>
    <w:p>
      <w:pPr>
        <w:ind w:left="340" w:right="60" w:hanging="332"/>
        <w:spacing w:after="0" w:line="250" w:lineRule="auto"/>
        <w:tabs>
          <w:tab w:leader="none" w:pos="34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For Mr. Walker, the target number of shares was calculated by dividing the targeted dollar value by the closing share price as of the grant date on July 15, 2025 ($319.61), rounding up to the next whole share. For Messrs. Netto and King, the target number of shares was calculated by dividing the targeted dollar value by the closing share price as of the grant date on February 14, 2025 ($377.31), rounding up to the next whole share.</w:t>
      </w:r>
    </w:p>
    <w:p>
      <w:pPr>
        <w:spacing w:after="0" w:line="14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table below summarizes the targeted value and target number of shares granted to each participating NEO in 2025 for the three-year performance period with three-year cliff vesting: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4860" w:type="dxa"/>
            <w:vAlign w:val="bottom"/>
            <w:shd w:val="clear" w:color="auto" w:fill="C43776"/>
          </w:tcPr>
          <w:p>
            <w:pPr>
              <w:spacing w:after="0"/>
              <w:rPr>
                <w:sz w:val="24"/>
                <w:szCs w:val="24"/>
                <w:color w:val="auto"/>
              </w:rPr>
            </w:pPr>
          </w:p>
        </w:tc>
        <w:tc>
          <w:tcPr>
            <w:tcW w:w="2540" w:type="dxa"/>
            <w:vAlign w:val="bottom"/>
            <w:shd w:val="clear" w:color="auto" w:fill="C43776"/>
          </w:tcPr>
          <w:p>
            <w:pPr>
              <w:jc w:val="right"/>
              <w:ind w:right="488"/>
              <w:spacing w:after="0"/>
              <w:rPr>
                <w:sz w:val="20"/>
                <w:szCs w:val="20"/>
                <w:color w:val="auto"/>
              </w:rPr>
            </w:pPr>
            <w:r>
              <w:rPr>
                <w:rFonts w:ascii="Arial" w:cs="Arial" w:eastAsia="Arial" w:hAnsi="Arial"/>
                <w:sz w:val="14"/>
                <w:szCs w:val="14"/>
                <w:b w:val="1"/>
                <w:bCs w:val="1"/>
                <w:color w:val="FFFFFF"/>
              </w:rPr>
              <w:t>Target Value of 3-Year</w:t>
            </w:r>
          </w:p>
        </w:tc>
        <w:tc>
          <w:tcPr>
            <w:tcW w:w="168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Target Number</w:t>
            </w:r>
          </w:p>
        </w:tc>
      </w:tr>
      <w:tr>
        <w:trPr>
          <w:trHeight w:val="178"/>
        </w:trPr>
        <w:tc>
          <w:tcPr>
            <w:tcW w:w="4860" w:type="dxa"/>
            <w:vAlign w:val="bottom"/>
            <w:shd w:val="clear" w:color="auto" w:fill="C43776"/>
          </w:tcPr>
          <w:p>
            <w:pPr>
              <w:spacing w:after="0"/>
              <w:rPr>
                <w:sz w:val="15"/>
                <w:szCs w:val="15"/>
                <w:color w:val="auto"/>
              </w:rPr>
            </w:pPr>
          </w:p>
        </w:tc>
        <w:tc>
          <w:tcPr>
            <w:tcW w:w="2540" w:type="dxa"/>
            <w:vAlign w:val="bottom"/>
            <w:shd w:val="clear" w:color="auto" w:fill="C43776"/>
          </w:tcPr>
          <w:p>
            <w:pPr>
              <w:jc w:val="right"/>
              <w:ind w:right="468"/>
              <w:spacing w:after="0"/>
              <w:rPr>
                <w:sz w:val="20"/>
                <w:szCs w:val="20"/>
                <w:color w:val="auto"/>
              </w:rPr>
            </w:pPr>
            <w:r>
              <w:rPr>
                <w:rFonts w:ascii="Arial" w:cs="Arial" w:eastAsia="Arial" w:hAnsi="Arial"/>
                <w:sz w:val="14"/>
                <w:szCs w:val="14"/>
                <w:b w:val="1"/>
                <w:bCs w:val="1"/>
                <w:color w:val="FFFFFF"/>
              </w:rPr>
              <w:t>Long-Term Equity Incentive</w:t>
            </w:r>
          </w:p>
        </w:tc>
        <w:tc>
          <w:tcPr>
            <w:tcW w:w="1680" w:type="dxa"/>
            <w:vAlign w:val="bottom"/>
            <w:shd w:val="clear" w:color="auto" w:fill="C43776"/>
          </w:tcPr>
          <w:p>
            <w:pPr>
              <w:jc w:val="right"/>
              <w:ind w:right="68"/>
              <w:spacing w:after="0" w:line="178" w:lineRule="exact"/>
              <w:rPr>
                <w:sz w:val="20"/>
                <w:szCs w:val="20"/>
                <w:color w:val="auto"/>
              </w:rPr>
            </w:pPr>
            <w:r>
              <w:rPr>
                <w:rFonts w:ascii="Arial" w:cs="Arial" w:eastAsia="Arial" w:hAnsi="Arial"/>
                <w:sz w:val="14"/>
                <w:szCs w:val="14"/>
                <w:b w:val="1"/>
                <w:bCs w:val="1"/>
                <w:color w:val="FFFFFF"/>
              </w:rPr>
              <w:t>of Shares</w:t>
            </w:r>
            <w:r>
              <w:rPr>
                <w:rFonts w:ascii="Arial" w:cs="Arial" w:eastAsia="Arial" w:hAnsi="Arial"/>
                <w:sz w:val="18"/>
                <w:szCs w:val="18"/>
                <w:b w:val="1"/>
                <w:bCs w:val="1"/>
                <w:color w:val="FFFFFF"/>
                <w:vertAlign w:val="superscript"/>
              </w:rPr>
              <w:t>(1)</w:t>
            </w:r>
          </w:p>
        </w:tc>
      </w:tr>
      <w:tr>
        <w:trPr>
          <w:trHeight w:val="185"/>
        </w:trPr>
        <w:tc>
          <w:tcPr>
            <w:tcW w:w="486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540" w:type="dxa"/>
            <w:vAlign w:val="bottom"/>
            <w:shd w:val="clear" w:color="auto" w:fill="C43776"/>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4"/>
        </w:trPr>
        <w:tc>
          <w:tcPr>
            <w:tcW w:w="4860" w:type="dxa"/>
            <w:vAlign w:val="bottom"/>
            <w:shd w:val="clear" w:color="auto" w:fill="C43776"/>
          </w:tcPr>
          <w:p>
            <w:pPr>
              <w:spacing w:after="0"/>
              <w:rPr>
                <w:sz w:val="8"/>
                <w:szCs w:val="8"/>
                <w:color w:val="auto"/>
              </w:rPr>
            </w:pPr>
          </w:p>
        </w:tc>
        <w:tc>
          <w:tcPr>
            <w:tcW w:w="2540" w:type="dxa"/>
            <w:vAlign w:val="bottom"/>
            <w:shd w:val="clear" w:color="auto" w:fill="C43776"/>
          </w:tcPr>
          <w:p>
            <w:pPr>
              <w:spacing w:after="0"/>
              <w:rPr>
                <w:sz w:val="8"/>
                <w:szCs w:val="8"/>
                <w:color w:val="auto"/>
              </w:rPr>
            </w:pPr>
          </w:p>
        </w:tc>
        <w:tc>
          <w:tcPr>
            <w:tcW w:w="1680" w:type="dxa"/>
            <w:vAlign w:val="bottom"/>
            <w:shd w:val="clear" w:color="auto" w:fill="C43776"/>
          </w:tcPr>
          <w:p>
            <w:pPr>
              <w:spacing w:after="0"/>
              <w:rPr>
                <w:sz w:val="8"/>
                <w:szCs w:val="8"/>
                <w:color w:val="auto"/>
              </w:rPr>
            </w:pPr>
          </w:p>
        </w:tc>
      </w:tr>
      <w:tr>
        <w:trPr>
          <w:trHeight w:val="276"/>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91"/>
        </w:trPr>
        <w:tc>
          <w:tcPr>
            <w:tcW w:w="486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2540" w:type="dxa"/>
            <w:vAlign w:val="bottom"/>
            <w:shd w:val="clear" w:color="auto" w:fill="F1F2F2"/>
          </w:tcPr>
          <w:p>
            <w:pPr>
              <w:jc w:val="right"/>
              <w:ind w:right="468"/>
              <w:spacing w:after="0"/>
              <w:rPr>
                <w:sz w:val="20"/>
                <w:szCs w:val="20"/>
                <w:color w:val="auto"/>
              </w:rPr>
            </w:pPr>
            <w:r>
              <w:rPr>
                <w:rFonts w:ascii="Arial" w:cs="Arial" w:eastAsia="Arial" w:hAnsi="Arial"/>
                <w:sz w:val="14"/>
                <w:szCs w:val="14"/>
                <w:color w:val="auto"/>
              </w:rPr>
              <w:t>165,000</w:t>
            </w:r>
          </w:p>
        </w:tc>
        <w:tc>
          <w:tcPr>
            <w:tcW w:w="168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517</w:t>
            </w:r>
          </w:p>
        </w:tc>
      </w:tr>
      <w:tr>
        <w:trPr>
          <w:trHeight w:val="276"/>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25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91"/>
        </w:trPr>
        <w:tc>
          <w:tcPr>
            <w:tcW w:w="486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2540" w:type="dxa"/>
            <w:vAlign w:val="bottom"/>
            <w:shd w:val="clear" w:color="auto" w:fill="F1F2F2"/>
          </w:tcPr>
          <w:p>
            <w:pPr>
              <w:jc w:val="right"/>
              <w:ind w:right="468"/>
              <w:spacing w:after="0"/>
              <w:rPr>
                <w:sz w:val="20"/>
                <w:szCs w:val="20"/>
                <w:color w:val="auto"/>
              </w:rPr>
            </w:pPr>
            <w:r>
              <w:rPr>
                <w:rFonts w:ascii="Arial" w:cs="Arial" w:eastAsia="Arial" w:hAnsi="Arial"/>
                <w:sz w:val="14"/>
                <w:szCs w:val="14"/>
                <w:color w:val="auto"/>
              </w:rPr>
              <w:t>360,000</w:t>
            </w:r>
          </w:p>
        </w:tc>
        <w:tc>
          <w:tcPr>
            <w:tcW w:w="168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955</w:t>
            </w:r>
          </w:p>
        </w:tc>
      </w:tr>
      <w:tr>
        <w:trPr>
          <w:trHeight w:val="277"/>
        </w:trPr>
        <w:tc>
          <w:tcPr>
            <w:tcW w:w="4860" w:type="dxa"/>
            <w:vAlign w:val="bottom"/>
            <w:tcBorders>
              <w:bottom w:val="single" w:sz="8" w:color="C43776"/>
            </w:tcBorders>
          </w:tcPr>
          <w:p>
            <w:pPr>
              <w:ind w:left="140"/>
              <w:spacing w:after="0"/>
              <w:rPr>
                <w:sz w:val="20"/>
                <w:szCs w:val="20"/>
                <w:color w:val="auto"/>
              </w:rPr>
            </w:pPr>
            <w:r>
              <w:rPr>
                <w:rFonts w:ascii="Arial" w:cs="Arial" w:eastAsia="Arial" w:hAnsi="Arial"/>
                <w:sz w:val="14"/>
                <w:szCs w:val="14"/>
                <w:b w:val="1"/>
                <w:bCs w:val="1"/>
                <w:color w:val="auto"/>
              </w:rPr>
              <w:t>Alan King</w:t>
            </w:r>
          </w:p>
        </w:tc>
        <w:tc>
          <w:tcPr>
            <w:tcW w:w="2540" w:type="dxa"/>
            <w:vAlign w:val="bottom"/>
            <w:tcBorders>
              <w:bottom w:val="single" w:sz="8" w:color="C43776"/>
            </w:tcBorders>
          </w:tcPr>
          <w:p>
            <w:pPr>
              <w:jc w:val="right"/>
              <w:ind w:right="468"/>
              <w:spacing w:after="0"/>
              <w:rPr>
                <w:sz w:val="20"/>
                <w:szCs w:val="20"/>
                <w:color w:val="auto"/>
              </w:rPr>
            </w:pPr>
            <w:r>
              <w:rPr>
                <w:rFonts w:ascii="Arial" w:cs="Arial" w:eastAsia="Arial" w:hAnsi="Arial"/>
                <w:sz w:val="14"/>
                <w:szCs w:val="14"/>
                <w:color w:val="auto"/>
              </w:rPr>
              <w:t>240,000</w:t>
            </w:r>
          </w:p>
        </w:tc>
        <w:tc>
          <w:tcPr>
            <w:tcW w:w="1680" w:type="dxa"/>
            <w:vAlign w:val="bottom"/>
            <w:tcBorders>
              <w:bottom w:val="single" w:sz="8" w:color="C43776"/>
            </w:tcBorders>
          </w:tcPr>
          <w:p>
            <w:pPr>
              <w:jc w:val="right"/>
              <w:ind w:right="88"/>
              <w:spacing w:after="0"/>
              <w:rPr>
                <w:sz w:val="20"/>
                <w:szCs w:val="20"/>
                <w:color w:val="auto"/>
              </w:rPr>
            </w:pPr>
            <w:r>
              <w:rPr>
                <w:rFonts w:ascii="Arial" w:cs="Arial" w:eastAsia="Arial" w:hAnsi="Arial"/>
                <w:sz w:val="14"/>
                <w:szCs w:val="14"/>
                <w:color w:val="auto"/>
              </w:rPr>
              <w:t>637</w:t>
            </w:r>
          </w:p>
        </w:tc>
      </w:tr>
    </w:tbl>
    <w:p>
      <w:pPr>
        <w:spacing w:after="0" w:line="106" w:lineRule="exact"/>
        <w:rPr>
          <w:sz w:val="20"/>
          <w:szCs w:val="20"/>
          <w:color w:val="auto"/>
        </w:rPr>
      </w:pPr>
    </w:p>
    <w:p>
      <w:pPr>
        <w:ind w:left="340" w:right="60" w:hanging="332"/>
        <w:spacing w:after="0" w:line="250" w:lineRule="auto"/>
        <w:tabs>
          <w:tab w:leader="none" w:pos="340" w:val="left"/>
        </w:tabs>
        <w:numPr>
          <w:ilvl w:val="0"/>
          <w:numId w:val="36"/>
        </w:numPr>
        <w:rPr>
          <w:rFonts w:ascii="Arial" w:cs="Arial" w:eastAsia="Arial" w:hAnsi="Arial"/>
          <w:sz w:val="13"/>
          <w:szCs w:val="13"/>
          <w:i w:val="1"/>
          <w:iCs w:val="1"/>
          <w:color w:val="auto"/>
        </w:rPr>
      </w:pPr>
      <w:r>
        <w:rPr>
          <w:rFonts w:ascii="Arial" w:cs="Arial" w:eastAsia="Arial" w:hAnsi="Arial"/>
          <w:sz w:val="13"/>
          <w:szCs w:val="13"/>
          <w:i w:val="1"/>
          <w:iCs w:val="1"/>
          <w:color w:val="auto"/>
        </w:rPr>
        <w:t>For Mr. Walker, the target number of shares was calculated by dividing the targeted dollar value by the closing share price as of the grant date on July 15, 2025 ($319.61), rounding up to the next whole share. For Messrs. Netto and King, the target number of shares was calculated by dividing the targeted dollar value by the closing share price as of the grant date on February 14, 2025 ($377.31), rounding up to the next whole share.</w:t>
      </w:r>
    </w:p>
    <w:p>
      <w:pPr>
        <w:spacing w:after="0" w:line="156" w:lineRule="exact"/>
        <w:rPr>
          <w:sz w:val="20"/>
          <w:szCs w:val="20"/>
          <w:color w:val="auto"/>
        </w:rPr>
      </w:pPr>
    </w:p>
    <w:p>
      <w:pPr>
        <w:jc w:val="both"/>
        <w:ind w:right="960"/>
        <w:spacing w:after="0" w:line="266" w:lineRule="auto"/>
        <w:rPr>
          <w:sz w:val="20"/>
          <w:szCs w:val="20"/>
          <w:color w:val="auto"/>
        </w:rPr>
      </w:pPr>
      <w:r>
        <w:rPr>
          <w:rFonts w:ascii="Arial" w:cs="Arial" w:eastAsia="Arial" w:hAnsi="Arial"/>
          <w:sz w:val="16"/>
          <w:szCs w:val="16"/>
          <w:color w:val="auto"/>
          <w:highlight w:val="white"/>
        </w:rPr>
        <w:t xml:space="preserve">For information concerning Long-Term Equity Incentive performance for </w:t>
      </w:r>
      <w:r>
        <w:rPr>
          <w:rFonts w:ascii="Arial" w:cs="Arial" w:eastAsia="Arial" w:hAnsi="Arial"/>
          <w:sz w:val="16"/>
          <w:szCs w:val="16"/>
          <w:color w:val="auto"/>
        </w:rPr>
        <w:t>2025 and the resulting payout levels, see</w:t>
      </w:r>
      <w:r>
        <w:rPr>
          <w:rFonts w:ascii="Arial" w:cs="Arial" w:eastAsia="Arial" w:hAnsi="Arial"/>
          <w:sz w:val="16"/>
          <w:szCs w:val="16"/>
          <w:color w:val="auto"/>
          <w:highlight w:val="white"/>
        </w:rPr>
        <w:t xml:space="preserve"> “Compensation </w:t>
      </w:r>
      <w:r>
        <w:rPr>
          <w:rFonts w:ascii="Arial" w:cs="Arial" w:eastAsia="Arial" w:hAnsi="Arial"/>
          <w:sz w:val="16"/>
          <w:szCs w:val="16"/>
          <w:color w:val="auto"/>
        </w:rPr>
        <w:t>Discussion and Analysis—Key Elements of 2025 Named Executive Officer Compensation—2025</w:t>
      </w:r>
      <w:r>
        <w:rPr>
          <w:rFonts w:ascii="Arial" w:cs="Arial" w:eastAsia="Arial" w:hAnsi="Arial"/>
          <w:sz w:val="16"/>
          <w:szCs w:val="16"/>
          <w:color w:val="auto"/>
          <w:highlight w:val="white"/>
        </w:rPr>
        <w:t xml:space="preserve"> </w:t>
      </w:r>
      <w:r>
        <w:rPr>
          <w:rFonts w:ascii="Arial" w:cs="Arial" w:eastAsia="Arial" w:hAnsi="Arial"/>
          <w:sz w:val="16"/>
          <w:szCs w:val="16"/>
          <w:color w:val="auto"/>
        </w:rPr>
        <w:t>Performance-Based Equity Goals and Payout Results”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33</w:t>
      </w:r>
    </w:p>
    <w:p>
      <w:pPr>
        <w:sectPr>
          <w:pgSz w:w="11900" w:h="16838" w:orient="portrait"/>
          <w:cols w:equalWidth="0" w:num="1">
            <w:col w:w="9080"/>
          </w:cols>
          <w:pgMar w:left="1400" w:top="729" w:right="1419" w:bottom="1440" w:gutter="0" w:footer="0" w:header="0"/>
        </w:sectPr>
      </w:pPr>
    </w:p>
    <w:bookmarkStart w:id="39" w:name="page40"/>
    <w:bookmarkEnd w:id="39"/>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color w:val="auto"/>
        </w:rPr>
        <w:t>Time-Based Equity</w:t>
      </w:r>
    </w:p>
    <w:p>
      <w:pPr>
        <w:spacing w:after="0" w:line="13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In 2025, the compensation committee granted Time-Based Equity to the participating NEOs as illustrated in the table below. Our compensation committee believes Time-Based Equity provides a retentive element to the compensation of NEOs, while maintaining alignment with the long-term interests of our shareholders by tying the value of the awards to the value of our common shares.</w:t>
      </w:r>
    </w:p>
    <w:p>
      <w:pPr>
        <w:spacing w:after="0" w:line="11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Mr. Walker’s awards vest (i) ratably over a three-year service period (standard award), (ii) on the one-year anniversary of the grant date (one-time award in connection with appointment), or (iii) on February 14, 2026 (one-time award in connection with appointment). Ms. Vickery’s award vested on December 31, 2025. Mr. Netto’s awards vest (i) ratably over a three-year service period (standard award) or (ii) on the one-year anniversary of the grant date (relocation tax equalization award). Mr. King’s award vests ratably over a three-year service period. All awards generally vest only with continued employment through the vesting period. For more information concerning these awards, see the “2025 Grants of Plan-Based Awards” table below.</w:t>
      </w:r>
    </w:p>
    <w:p>
      <w:pPr>
        <w:spacing w:after="0" w:line="122"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table below summarizes the targeted value and number of Time-Based Equity shares granted to each participating NEO in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4580" w:type="dxa"/>
            <w:vAlign w:val="bottom"/>
            <w:shd w:val="clear" w:color="auto" w:fill="C43776"/>
          </w:tcPr>
          <w:p>
            <w:pPr>
              <w:spacing w:after="0"/>
              <w:rPr>
                <w:sz w:val="24"/>
                <w:szCs w:val="24"/>
                <w:color w:val="auto"/>
              </w:rPr>
            </w:pPr>
          </w:p>
        </w:tc>
        <w:tc>
          <w:tcPr>
            <w:tcW w:w="2840" w:type="dxa"/>
            <w:vAlign w:val="bottom"/>
            <w:shd w:val="clear" w:color="auto" w:fill="C43776"/>
          </w:tcPr>
          <w:p>
            <w:pPr>
              <w:jc w:val="right"/>
              <w:ind w:right="768"/>
              <w:spacing w:after="0"/>
              <w:rPr>
                <w:sz w:val="20"/>
                <w:szCs w:val="20"/>
                <w:color w:val="auto"/>
              </w:rPr>
            </w:pPr>
            <w:r>
              <w:rPr>
                <w:rFonts w:ascii="Arial" w:cs="Arial" w:eastAsia="Arial" w:hAnsi="Arial"/>
                <w:sz w:val="14"/>
                <w:szCs w:val="14"/>
                <w:b w:val="1"/>
                <w:bCs w:val="1"/>
                <w:color w:val="FFFFFF"/>
              </w:rPr>
              <w:t>Target Value of</w:t>
            </w:r>
          </w:p>
        </w:tc>
        <w:tc>
          <w:tcPr>
            <w:tcW w:w="166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Number of</w:t>
            </w:r>
          </w:p>
        </w:tc>
      </w:tr>
      <w:tr>
        <w:trPr>
          <w:trHeight w:val="178"/>
        </w:trPr>
        <w:tc>
          <w:tcPr>
            <w:tcW w:w="4580" w:type="dxa"/>
            <w:vAlign w:val="bottom"/>
            <w:shd w:val="clear" w:color="auto" w:fill="C43776"/>
          </w:tcPr>
          <w:p>
            <w:pPr>
              <w:spacing w:after="0"/>
              <w:rPr>
                <w:sz w:val="15"/>
                <w:szCs w:val="15"/>
                <w:color w:val="auto"/>
              </w:rPr>
            </w:pPr>
          </w:p>
        </w:tc>
        <w:tc>
          <w:tcPr>
            <w:tcW w:w="2840" w:type="dxa"/>
            <w:vAlign w:val="bottom"/>
            <w:shd w:val="clear" w:color="auto" w:fill="C43776"/>
          </w:tcPr>
          <w:p>
            <w:pPr>
              <w:jc w:val="right"/>
              <w:ind w:right="748"/>
              <w:spacing w:after="0"/>
              <w:rPr>
                <w:sz w:val="20"/>
                <w:szCs w:val="20"/>
                <w:color w:val="auto"/>
              </w:rPr>
            </w:pPr>
            <w:r>
              <w:rPr>
                <w:rFonts w:ascii="Arial" w:cs="Arial" w:eastAsia="Arial" w:hAnsi="Arial"/>
                <w:sz w:val="14"/>
                <w:szCs w:val="14"/>
                <w:b w:val="1"/>
                <w:bCs w:val="1"/>
                <w:color w:val="FFFFFF"/>
              </w:rPr>
              <w:t>Time-Based Equity</w:t>
            </w:r>
          </w:p>
        </w:tc>
        <w:tc>
          <w:tcPr>
            <w:tcW w:w="1660" w:type="dxa"/>
            <w:vAlign w:val="bottom"/>
            <w:shd w:val="clear" w:color="auto" w:fill="C43776"/>
          </w:tcPr>
          <w:p>
            <w:pPr>
              <w:jc w:val="right"/>
              <w:ind w:right="68"/>
              <w:spacing w:after="0" w:line="178"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18"/>
                <w:szCs w:val="18"/>
                <w:b w:val="1"/>
                <w:bCs w:val="1"/>
                <w:color w:val="FFFFFF"/>
                <w:vertAlign w:val="superscript"/>
              </w:rPr>
              <w:t>(1)</w:t>
            </w:r>
          </w:p>
        </w:tc>
      </w:tr>
      <w:tr>
        <w:trPr>
          <w:trHeight w:val="185"/>
        </w:trPr>
        <w:tc>
          <w:tcPr>
            <w:tcW w:w="458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840" w:type="dxa"/>
            <w:vAlign w:val="bottom"/>
            <w:shd w:val="clear" w:color="auto" w:fill="C43776"/>
          </w:tcPr>
          <w:p>
            <w:pPr>
              <w:jc w:val="right"/>
              <w:ind w:right="748"/>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5"/>
        </w:trPr>
        <w:tc>
          <w:tcPr>
            <w:tcW w:w="4580" w:type="dxa"/>
            <w:vAlign w:val="bottom"/>
            <w:shd w:val="clear" w:color="auto" w:fill="C43776"/>
          </w:tcPr>
          <w:p>
            <w:pPr>
              <w:spacing w:after="0"/>
              <w:rPr>
                <w:sz w:val="8"/>
                <w:szCs w:val="8"/>
                <w:color w:val="auto"/>
              </w:rPr>
            </w:pPr>
          </w:p>
        </w:tc>
        <w:tc>
          <w:tcPr>
            <w:tcW w:w="2840" w:type="dxa"/>
            <w:vAlign w:val="bottom"/>
            <w:shd w:val="clear" w:color="auto" w:fill="C43776"/>
          </w:tcPr>
          <w:p>
            <w:pPr>
              <w:spacing w:after="0"/>
              <w:rPr>
                <w:sz w:val="8"/>
                <w:szCs w:val="8"/>
                <w:color w:val="auto"/>
              </w:rPr>
            </w:pPr>
          </w:p>
        </w:tc>
        <w:tc>
          <w:tcPr>
            <w:tcW w:w="1660" w:type="dxa"/>
            <w:vAlign w:val="bottom"/>
            <w:shd w:val="clear" w:color="auto" w:fill="C43776"/>
          </w:tcPr>
          <w:p>
            <w:pPr>
              <w:spacing w:after="0"/>
              <w:rPr>
                <w:sz w:val="8"/>
                <w:szCs w:val="8"/>
                <w:color w:val="auto"/>
              </w:rPr>
            </w:pPr>
          </w:p>
        </w:tc>
      </w:tr>
      <w:tr>
        <w:trPr>
          <w:trHeight w:val="254"/>
        </w:trPr>
        <w:tc>
          <w:tcPr>
            <w:tcW w:w="458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28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9"/>
        </w:trPr>
        <w:tc>
          <w:tcPr>
            <w:tcW w:w="4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63"/>
        </w:trPr>
        <w:tc>
          <w:tcPr>
            <w:tcW w:w="458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2840" w:type="dxa"/>
            <w:vAlign w:val="bottom"/>
            <w:tcBorders>
              <w:bottom w:val="single" w:sz="8" w:color="F1F2F2"/>
            </w:tcBorders>
            <w:shd w:val="clear" w:color="auto" w:fill="F1F2F2"/>
          </w:tcPr>
          <w:p>
            <w:pPr>
              <w:jc w:val="right"/>
              <w:ind w:right="768"/>
              <w:spacing w:after="0"/>
              <w:rPr>
                <w:sz w:val="20"/>
                <w:szCs w:val="20"/>
                <w:color w:val="auto"/>
              </w:rPr>
            </w:pPr>
            <w:r>
              <w:rPr>
                <w:rFonts w:ascii="Arial" w:cs="Arial" w:eastAsia="Arial" w:hAnsi="Arial"/>
                <w:sz w:val="14"/>
                <w:szCs w:val="14"/>
                <w:color w:val="auto"/>
              </w:rPr>
              <w:t>1,675,000</w:t>
            </w:r>
          </w:p>
        </w:tc>
        <w:tc>
          <w:tcPr>
            <w:tcW w:w="16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5,242</w:t>
            </w:r>
          </w:p>
        </w:tc>
      </w:tr>
      <w:tr>
        <w:trPr>
          <w:trHeight w:val="254"/>
        </w:trPr>
        <w:tc>
          <w:tcPr>
            <w:tcW w:w="458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2840" w:type="dxa"/>
            <w:vAlign w:val="bottom"/>
          </w:tcPr>
          <w:p>
            <w:pPr>
              <w:jc w:val="right"/>
              <w:ind w:right="768"/>
              <w:spacing w:after="0"/>
              <w:rPr>
                <w:sz w:val="20"/>
                <w:szCs w:val="20"/>
                <w:color w:val="auto"/>
              </w:rPr>
            </w:pPr>
            <w:r>
              <w:rPr>
                <w:rFonts w:ascii="Arial" w:cs="Arial" w:eastAsia="Arial" w:hAnsi="Arial"/>
                <w:sz w:val="14"/>
                <w:szCs w:val="14"/>
                <w:color w:val="auto"/>
              </w:rPr>
              <w:t>200,000</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576</w:t>
            </w:r>
          </w:p>
        </w:tc>
      </w:tr>
      <w:tr>
        <w:trPr>
          <w:trHeight w:val="29"/>
        </w:trPr>
        <w:tc>
          <w:tcPr>
            <w:tcW w:w="4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64"/>
        </w:trPr>
        <w:tc>
          <w:tcPr>
            <w:tcW w:w="458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2840" w:type="dxa"/>
            <w:vAlign w:val="bottom"/>
            <w:tcBorders>
              <w:bottom w:val="single" w:sz="8" w:color="F1F2F2"/>
            </w:tcBorders>
            <w:shd w:val="clear" w:color="auto" w:fill="F1F2F2"/>
          </w:tcPr>
          <w:p>
            <w:pPr>
              <w:jc w:val="right"/>
              <w:ind w:right="768"/>
              <w:spacing w:after="0"/>
              <w:rPr>
                <w:sz w:val="20"/>
                <w:szCs w:val="20"/>
                <w:color w:val="auto"/>
              </w:rPr>
            </w:pPr>
            <w:r>
              <w:rPr>
                <w:rFonts w:ascii="Arial" w:cs="Arial" w:eastAsia="Arial" w:hAnsi="Arial"/>
                <w:sz w:val="14"/>
                <w:szCs w:val="14"/>
                <w:color w:val="auto"/>
              </w:rPr>
              <w:t>1,193,205</w:t>
            </w:r>
          </w:p>
        </w:tc>
        <w:tc>
          <w:tcPr>
            <w:tcW w:w="16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3,299</w:t>
            </w:r>
          </w:p>
        </w:tc>
      </w:tr>
      <w:tr>
        <w:trPr>
          <w:trHeight w:val="255"/>
        </w:trPr>
        <w:tc>
          <w:tcPr>
            <w:tcW w:w="458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2840" w:type="dxa"/>
            <w:vAlign w:val="bottom"/>
          </w:tcPr>
          <w:p>
            <w:pPr>
              <w:jc w:val="right"/>
              <w:ind w:right="768"/>
              <w:spacing w:after="0"/>
              <w:rPr>
                <w:sz w:val="20"/>
                <w:szCs w:val="20"/>
                <w:color w:val="auto"/>
              </w:rPr>
            </w:pPr>
            <w:r>
              <w:rPr>
                <w:rFonts w:ascii="Arial" w:cs="Arial" w:eastAsia="Arial" w:hAnsi="Arial"/>
                <w:sz w:val="14"/>
                <w:szCs w:val="14"/>
                <w:color w:val="auto"/>
              </w:rPr>
              <w:t>400,000</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1,061</w:t>
            </w:r>
          </w:p>
        </w:tc>
      </w:tr>
      <w:tr>
        <w:trPr>
          <w:trHeight w:val="29"/>
        </w:trPr>
        <w:tc>
          <w:tcPr>
            <w:tcW w:w="4580" w:type="dxa"/>
            <w:vAlign w:val="bottom"/>
            <w:tcBorders>
              <w:bottom w:val="single" w:sz="8" w:color="C43776"/>
            </w:tcBorders>
          </w:tcPr>
          <w:p>
            <w:pPr>
              <w:spacing w:after="0"/>
              <w:rPr>
                <w:sz w:val="2"/>
                <w:szCs w:val="2"/>
                <w:color w:val="auto"/>
              </w:rPr>
            </w:pPr>
          </w:p>
        </w:tc>
        <w:tc>
          <w:tcPr>
            <w:tcW w:w="2840" w:type="dxa"/>
            <w:vAlign w:val="bottom"/>
            <w:tcBorders>
              <w:bottom w:val="single" w:sz="8" w:color="C43776"/>
            </w:tcBorders>
          </w:tcPr>
          <w:p>
            <w:pPr>
              <w:spacing w:after="0"/>
              <w:rPr>
                <w:sz w:val="2"/>
                <w:szCs w:val="2"/>
                <w:color w:val="auto"/>
              </w:rPr>
            </w:pPr>
          </w:p>
        </w:tc>
        <w:tc>
          <w:tcPr>
            <w:tcW w:w="1660" w:type="dxa"/>
            <w:vAlign w:val="bottom"/>
            <w:tcBorders>
              <w:bottom w:val="single" w:sz="8" w:color="C43776"/>
            </w:tcBorders>
          </w:tcPr>
          <w:p>
            <w:pPr>
              <w:spacing w:after="0"/>
              <w:rPr>
                <w:sz w:val="2"/>
                <w:szCs w:val="2"/>
                <w:color w:val="auto"/>
              </w:rPr>
            </w:pPr>
          </w:p>
        </w:tc>
      </w:tr>
    </w:tbl>
    <w:p>
      <w:pPr>
        <w:spacing w:after="0" w:line="106" w:lineRule="exact"/>
        <w:rPr>
          <w:sz w:val="20"/>
          <w:szCs w:val="20"/>
          <w:color w:val="auto"/>
        </w:rPr>
      </w:pPr>
    </w:p>
    <w:p>
      <w:pPr>
        <w:ind w:left="340" w:right="20" w:hanging="332"/>
        <w:spacing w:after="0" w:line="247" w:lineRule="auto"/>
        <w:tabs>
          <w:tab w:leader="none" w:pos="34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For Mr. Walker, the number of shares was calculated by dividing the targeted dollar value of each award by the closing share price as of the grant date on July 15, 2025 ($319.61), rounding each award up to the next whole share. For Ms. Vickery, the number of shares was calculated by dividing the targeted dollar value by the closing share price as of the grant date on March 17, 2025 ($347.31), rounding up to the next whole share. For Mr. Netto, the number of shares was calculated by dividing the targeted dollar value of each award by the closing share price as of the grant date on February 14, 2025 ($377.31) and March 17, 2025 ($347.31), rounding each award up to the next whole share. For Mr. King, the number of shares was calculated by dividing the targeted dollar value by the closing share price as of the grant date on February 14, 2025 ($377.31), rounding up to the next whole share.</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auto"/>
        </w:rPr>
        <w:t>Stock Options</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2025, the compensation committee granted Stock Options to the participating NEOs as illustrated in the table below. The exercise price for each Stock Option award is the fair market value of our common shares on the grant date (closing stock price). Stock Option awards granted to our NEOs in 2025 generally vest ratably over a four-year service period and are earned with continued employment through the vesting period. They generally may be exercised up to ten years after the grant date, but generally expire 90 days after termination of employment. We believe stock option awards are inherently performance-based, requiring stock price appreciation before there is any real value earned, while encouraging long-term employment with the Company.</w:t>
      </w:r>
    </w:p>
    <w:p>
      <w:pPr>
        <w:spacing w:after="0" w:line="12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Additionally, in 2025, Mr. Walker and Mr. King received performance-based Stock Options awards with certain three-year performance period goals. Mr. Walker’s three-year period covers 2026 to 2028 and Mr. King’s three-year period covers 2025 to 2027. To the extent earned, these awards cliff vest shortly after the end of the three-year performance period. Because we do not provide long-term revenue or earnings guidance, the specific goal levels tied to these performance metrics are not detailed in this filing. We expect to disclose the goals and payout results in the Proxy Statement filing that follows the end of each performance period (in the 2029 and 2028 Proxy Statements,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34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sectPr>
      </w:pPr>
    </w:p>
    <w:bookmarkStart w:id="40" w:name="page41"/>
    <w:bookmarkEnd w:id="40"/>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table below summarizes the targeted value and number of time-based Stock Options granted to each participating NEO in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860" w:type="dxa"/>
            <w:vAlign w:val="bottom"/>
            <w:shd w:val="clear" w:color="auto" w:fill="C43776"/>
          </w:tcPr>
          <w:p>
            <w:pPr>
              <w:spacing w:after="0"/>
              <w:rPr>
                <w:sz w:val="24"/>
                <w:szCs w:val="24"/>
                <w:color w:val="auto"/>
              </w:rPr>
            </w:pPr>
          </w:p>
        </w:tc>
        <w:tc>
          <w:tcPr>
            <w:tcW w:w="2500" w:type="dxa"/>
            <w:vAlign w:val="bottom"/>
            <w:shd w:val="clear" w:color="auto" w:fill="C43776"/>
          </w:tcPr>
          <w:p>
            <w:pPr>
              <w:jc w:val="right"/>
              <w:ind w:right="428"/>
              <w:spacing w:after="0"/>
              <w:rPr>
                <w:sz w:val="20"/>
                <w:szCs w:val="20"/>
                <w:color w:val="auto"/>
              </w:rPr>
            </w:pPr>
            <w:r>
              <w:rPr>
                <w:rFonts w:ascii="Arial" w:cs="Arial" w:eastAsia="Arial" w:hAnsi="Arial"/>
                <w:sz w:val="14"/>
                <w:szCs w:val="14"/>
                <w:b w:val="1"/>
                <w:bCs w:val="1"/>
                <w:color w:val="FFFFFF"/>
              </w:rPr>
              <w:t>Target Value of</w:t>
            </w:r>
          </w:p>
        </w:tc>
        <w:tc>
          <w:tcPr>
            <w:tcW w:w="172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Number of</w:t>
            </w:r>
          </w:p>
        </w:tc>
      </w:tr>
      <w:tr>
        <w:trPr>
          <w:trHeight w:val="191"/>
        </w:trPr>
        <w:tc>
          <w:tcPr>
            <w:tcW w:w="4860" w:type="dxa"/>
            <w:vAlign w:val="bottom"/>
            <w:shd w:val="clear" w:color="auto" w:fill="C43776"/>
          </w:tcPr>
          <w:p>
            <w:pPr>
              <w:spacing w:after="0"/>
              <w:rPr>
                <w:sz w:val="16"/>
                <w:szCs w:val="16"/>
                <w:color w:val="auto"/>
              </w:rPr>
            </w:pPr>
          </w:p>
        </w:tc>
        <w:tc>
          <w:tcPr>
            <w:tcW w:w="2500" w:type="dxa"/>
            <w:vAlign w:val="bottom"/>
            <w:shd w:val="clear" w:color="auto" w:fill="C43776"/>
          </w:tcPr>
          <w:p>
            <w:pPr>
              <w:jc w:val="right"/>
              <w:ind w:right="408"/>
              <w:spacing w:after="0"/>
              <w:rPr>
                <w:sz w:val="20"/>
                <w:szCs w:val="20"/>
                <w:color w:val="auto"/>
              </w:rPr>
            </w:pPr>
            <w:r>
              <w:rPr>
                <w:rFonts w:ascii="Arial" w:cs="Arial" w:eastAsia="Arial" w:hAnsi="Arial"/>
                <w:sz w:val="14"/>
                <w:szCs w:val="14"/>
                <w:b w:val="1"/>
                <w:bCs w:val="1"/>
                <w:color w:val="FFFFFF"/>
              </w:rPr>
              <w:t>Stock Options</w:t>
            </w:r>
          </w:p>
        </w:tc>
        <w:tc>
          <w:tcPr>
            <w:tcW w:w="1720" w:type="dxa"/>
            <w:vAlign w:val="bottom"/>
            <w:shd w:val="clear" w:color="auto" w:fill="C43776"/>
          </w:tcPr>
          <w:p>
            <w:pPr>
              <w:jc w:val="right"/>
              <w:ind w:right="68"/>
              <w:spacing w:after="0" w:line="191" w:lineRule="exact"/>
              <w:rPr>
                <w:sz w:val="20"/>
                <w:szCs w:val="20"/>
                <w:color w:val="auto"/>
              </w:rPr>
            </w:pPr>
            <w:r>
              <w:rPr>
                <w:rFonts w:ascii="Arial" w:cs="Arial" w:eastAsia="Arial" w:hAnsi="Arial"/>
                <w:sz w:val="14"/>
                <w:szCs w:val="14"/>
                <w:b w:val="1"/>
                <w:bCs w:val="1"/>
                <w:color w:val="FFFFFF"/>
              </w:rPr>
              <w:t>Stock Options</w:t>
            </w:r>
            <w:r>
              <w:rPr>
                <w:rFonts w:ascii="Arial" w:cs="Arial" w:eastAsia="Arial" w:hAnsi="Arial"/>
                <w:sz w:val="18"/>
                <w:szCs w:val="18"/>
                <w:b w:val="1"/>
                <w:bCs w:val="1"/>
                <w:color w:val="FFFFFF"/>
                <w:vertAlign w:val="superscript"/>
              </w:rPr>
              <w:t>(1)</w:t>
            </w:r>
          </w:p>
        </w:tc>
      </w:tr>
      <w:tr>
        <w:trPr>
          <w:trHeight w:val="185"/>
        </w:trPr>
        <w:tc>
          <w:tcPr>
            <w:tcW w:w="486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500" w:type="dxa"/>
            <w:vAlign w:val="bottom"/>
            <w:shd w:val="clear" w:color="auto" w:fill="C43776"/>
          </w:tcPr>
          <w:p>
            <w:pPr>
              <w:jc w:val="right"/>
              <w:ind w:right="408"/>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4"/>
        </w:trPr>
        <w:tc>
          <w:tcPr>
            <w:tcW w:w="4860" w:type="dxa"/>
            <w:vAlign w:val="bottom"/>
            <w:shd w:val="clear" w:color="auto" w:fill="C43776"/>
          </w:tcPr>
          <w:p>
            <w:pPr>
              <w:spacing w:after="0"/>
              <w:rPr>
                <w:sz w:val="8"/>
                <w:szCs w:val="8"/>
                <w:color w:val="auto"/>
              </w:rPr>
            </w:pPr>
          </w:p>
        </w:tc>
        <w:tc>
          <w:tcPr>
            <w:tcW w:w="2500" w:type="dxa"/>
            <w:vAlign w:val="bottom"/>
            <w:shd w:val="clear" w:color="auto" w:fill="C43776"/>
          </w:tcPr>
          <w:p>
            <w:pPr>
              <w:spacing w:after="0"/>
              <w:rPr>
                <w:sz w:val="8"/>
                <w:szCs w:val="8"/>
                <w:color w:val="auto"/>
              </w:rPr>
            </w:pPr>
          </w:p>
        </w:tc>
        <w:tc>
          <w:tcPr>
            <w:tcW w:w="1720" w:type="dxa"/>
            <w:vAlign w:val="bottom"/>
            <w:shd w:val="clear" w:color="auto" w:fill="C43776"/>
          </w:tcPr>
          <w:p>
            <w:pPr>
              <w:spacing w:after="0"/>
              <w:rPr>
                <w:sz w:val="8"/>
                <w:szCs w:val="8"/>
                <w:color w:val="auto"/>
              </w:rPr>
            </w:pP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25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3"/>
        </w:trPr>
        <w:tc>
          <w:tcPr>
            <w:tcW w:w="48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90"/>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2500" w:type="dxa"/>
            <w:vAlign w:val="bottom"/>
            <w:tcBorders>
              <w:bottom w:val="single" w:sz="8" w:color="F1F2F2"/>
            </w:tcBorders>
            <w:shd w:val="clear" w:color="auto" w:fill="F1F2F2"/>
          </w:tcPr>
          <w:p>
            <w:pPr>
              <w:jc w:val="right"/>
              <w:ind w:right="428"/>
              <w:spacing w:after="0"/>
              <w:rPr>
                <w:sz w:val="20"/>
                <w:szCs w:val="20"/>
                <w:color w:val="auto"/>
              </w:rPr>
            </w:pPr>
            <w:r>
              <w:rPr>
                <w:rFonts w:ascii="Arial" w:cs="Arial" w:eastAsia="Arial" w:hAnsi="Arial"/>
                <w:sz w:val="14"/>
                <w:szCs w:val="14"/>
                <w:color w:val="auto"/>
              </w:rPr>
              <w:t>1,200,000</w:t>
            </w:r>
          </w:p>
        </w:tc>
        <w:tc>
          <w:tcPr>
            <w:tcW w:w="172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12,213</w:t>
            </w: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25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3"/>
        </w:trPr>
        <w:tc>
          <w:tcPr>
            <w:tcW w:w="48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91"/>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2500" w:type="dxa"/>
            <w:vAlign w:val="bottom"/>
            <w:tcBorders>
              <w:bottom w:val="single" w:sz="8" w:color="F1F2F2"/>
            </w:tcBorders>
            <w:shd w:val="clear" w:color="auto" w:fill="F1F2F2"/>
          </w:tcPr>
          <w:p>
            <w:pPr>
              <w:jc w:val="right"/>
              <w:ind w:right="428"/>
              <w:spacing w:after="0"/>
              <w:rPr>
                <w:sz w:val="20"/>
                <w:szCs w:val="20"/>
                <w:color w:val="auto"/>
              </w:rPr>
            </w:pPr>
            <w:r>
              <w:rPr>
                <w:rFonts w:ascii="Arial" w:cs="Arial" w:eastAsia="Arial" w:hAnsi="Arial"/>
                <w:sz w:val="14"/>
                <w:szCs w:val="14"/>
                <w:color w:val="auto"/>
              </w:rPr>
              <w:t>1,200,000</w:t>
            </w:r>
          </w:p>
        </w:tc>
        <w:tc>
          <w:tcPr>
            <w:tcW w:w="172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10,867</w:t>
            </w: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2500" w:type="dxa"/>
            <w:vAlign w:val="bottom"/>
          </w:tcPr>
          <w:p>
            <w:pPr>
              <w:jc w:val="right"/>
              <w:ind w:right="428"/>
              <w:spacing w:after="0"/>
              <w:rPr>
                <w:sz w:val="20"/>
                <w:szCs w:val="20"/>
                <w:color w:val="auto"/>
              </w:rPr>
            </w:pPr>
            <w:r>
              <w:rPr>
                <w:rFonts w:ascii="Arial" w:cs="Arial" w:eastAsia="Arial" w:hAnsi="Arial"/>
                <w:sz w:val="14"/>
                <w:szCs w:val="14"/>
                <w:color w:val="auto"/>
              </w:rPr>
              <w:t>800,000</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7,245</w:t>
            </w:r>
          </w:p>
        </w:tc>
      </w:tr>
      <w:tr>
        <w:trPr>
          <w:trHeight w:val="43"/>
        </w:trPr>
        <w:tc>
          <w:tcPr>
            <w:tcW w:w="4860" w:type="dxa"/>
            <w:vAlign w:val="bottom"/>
            <w:tcBorders>
              <w:bottom w:val="single" w:sz="8" w:color="C43776"/>
            </w:tcBorders>
          </w:tcPr>
          <w:p>
            <w:pPr>
              <w:spacing w:after="0"/>
              <w:rPr>
                <w:sz w:val="3"/>
                <w:szCs w:val="3"/>
                <w:color w:val="auto"/>
              </w:rPr>
            </w:pPr>
          </w:p>
        </w:tc>
        <w:tc>
          <w:tcPr>
            <w:tcW w:w="2500" w:type="dxa"/>
            <w:vAlign w:val="bottom"/>
            <w:tcBorders>
              <w:bottom w:val="single" w:sz="8" w:color="C43776"/>
            </w:tcBorders>
          </w:tcPr>
          <w:p>
            <w:pPr>
              <w:spacing w:after="0"/>
              <w:rPr>
                <w:sz w:val="3"/>
                <w:szCs w:val="3"/>
                <w:color w:val="auto"/>
              </w:rPr>
            </w:pPr>
          </w:p>
        </w:tc>
        <w:tc>
          <w:tcPr>
            <w:tcW w:w="1720" w:type="dxa"/>
            <w:vAlign w:val="bottom"/>
            <w:tcBorders>
              <w:bottom w:val="single" w:sz="8" w:color="C43776"/>
            </w:tcBorders>
          </w:tcPr>
          <w:p>
            <w:pPr>
              <w:spacing w:after="0"/>
              <w:rPr>
                <w:sz w:val="3"/>
                <w:szCs w:val="3"/>
                <w:color w:val="auto"/>
              </w:rPr>
            </w:pPr>
          </w:p>
        </w:tc>
      </w:tr>
    </w:tbl>
    <w:p>
      <w:pPr>
        <w:spacing w:after="0" w:line="92" w:lineRule="exact"/>
        <w:rPr>
          <w:sz w:val="20"/>
          <w:szCs w:val="20"/>
          <w:color w:val="auto"/>
        </w:rPr>
      </w:pPr>
    </w:p>
    <w:p>
      <w:pPr>
        <w:jc w:val="both"/>
        <w:ind w:left="340" w:right="220" w:hanging="332"/>
        <w:spacing w:after="0" w:line="260" w:lineRule="auto"/>
        <w:tabs>
          <w:tab w:leader="none" w:pos="34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stock options was calculated using the Black-Scholes model on the grant date. Figures in the tables under “2025 Named Executive Officer Compensation” beginning on page 45 may be slightly different as they reflect specific accounting methodologies required for table reporting as described therein.</w:t>
      </w:r>
    </w:p>
    <w:p>
      <w:pPr>
        <w:spacing w:after="0" w:line="137"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table below summarizes the targeted value and target number of performance-based Stock Options granted to each participating NEO in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860" w:type="dxa"/>
            <w:vAlign w:val="bottom"/>
            <w:shd w:val="clear" w:color="auto" w:fill="C43776"/>
          </w:tcPr>
          <w:p>
            <w:pPr>
              <w:spacing w:after="0"/>
              <w:rPr>
                <w:sz w:val="24"/>
                <w:szCs w:val="24"/>
                <w:color w:val="auto"/>
              </w:rPr>
            </w:pPr>
          </w:p>
        </w:tc>
        <w:tc>
          <w:tcPr>
            <w:tcW w:w="2440" w:type="dxa"/>
            <w:vAlign w:val="bottom"/>
            <w:shd w:val="clear" w:color="auto" w:fill="C43776"/>
          </w:tcPr>
          <w:p>
            <w:pPr>
              <w:jc w:val="right"/>
              <w:ind w:right="368"/>
              <w:spacing w:after="0"/>
              <w:rPr>
                <w:sz w:val="20"/>
                <w:szCs w:val="20"/>
                <w:color w:val="auto"/>
              </w:rPr>
            </w:pPr>
            <w:r>
              <w:rPr>
                <w:rFonts w:ascii="Arial" w:cs="Arial" w:eastAsia="Arial" w:hAnsi="Arial"/>
                <w:sz w:val="14"/>
                <w:szCs w:val="14"/>
                <w:b w:val="1"/>
                <w:bCs w:val="1"/>
                <w:color w:val="FFFFFF"/>
              </w:rPr>
              <w:t>Target Value of</w:t>
            </w:r>
          </w:p>
        </w:tc>
        <w:tc>
          <w:tcPr>
            <w:tcW w:w="178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Target Number of</w:t>
            </w:r>
          </w:p>
        </w:tc>
      </w:tr>
      <w:tr>
        <w:trPr>
          <w:trHeight w:val="191"/>
        </w:trPr>
        <w:tc>
          <w:tcPr>
            <w:tcW w:w="4860" w:type="dxa"/>
            <w:vAlign w:val="bottom"/>
            <w:shd w:val="clear" w:color="auto" w:fill="C43776"/>
          </w:tcPr>
          <w:p>
            <w:pPr>
              <w:spacing w:after="0"/>
              <w:rPr>
                <w:sz w:val="16"/>
                <w:szCs w:val="16"/>
                <w:color w:val="auto"/>
              </w:rPr>
            </w:pPr>
          </w:p>
        </w:tc>
        <w:tc>
          <w:tcPr>
            <w:tcW w:w="2440" w:type="dxa"/>
            <w:vAlign w:val="bottom"/>
            <w:shd w:val="clear" w:color="auto" w:fill="C43776"/>
          </w:tcPr>
          <w:p>
            <w:pPr>
              <w:jc w:val="right"/>
              <w:ind w:right="348"/>
              <w:spacing w:after="0"/>
              <w:rPr>
                <w:sz w:val="20"/>
                <w:szCs w:val="20"/>
                <w:color w:val="auto"/>
              </w:rPr>
            </w:pPr>
            <w:r>
              <w:rPr>
                <w:rFonts w:ascii="Arial" w:cs="Arial" w:eastAsia="Arial" w:hAnsi="Arial"/>
                <w:sz w:val="14"/>
                <w:szCs w:val="14"/>
                <w:b w:val="1"/>
                <w:bCs w:val="1"/>
                <w:color w:val="FFFFFF"/>
              </w:rPr>
              <w:t>Stock Options</w:t>
            </w:r>
          </w:p>
        </w:tc>
        <w:tc>
          <w:tcPr>
            <w:tcW w:w="1780" w:type="dxa"/>
            <w:vAlign w:val="bottom"/>
            <w:shd w:val="clear" w:color="auto" w:fill="C43776"/>
          </w:tcPr>
          <w:p>
            <w:pPr>
              <w:jc w:val="right"/>
              <w:ind w:right="68"/>
              <w:spacing w:after="0" w:line="191" w:lineRule="exact"/>
              <w:rPr>
                <w:sz w:val="20"/>
                <w:szCs w:val="20"/>
                <w:color w:val="auto"/>
              </w:rPr>
            </w:pPr>
            <w:r>
              <w:rPr>
                <w:rFonts w:ascii="Arial" w:cs="Arial" w:eastAsia="Arial" w:hAnsi="Arial"/>
                <w:sz w:val="14"/>
                <w:szCs w:val="14"/>
                <w:b w:val="1"/>
                <w:bCs w:val="1"/>
                <w:color w:val="FFFFFF"/>
              </w:rPr>
              <w:t>Stock Options</w:t>
            </w:r>
            <w:r>
              <w:rPr>
                <w:rFonts w:ascii="Arial" w:cs="Arial" w:eastAsia="Arial" w:hAnsi="Arial"/>
                <w:sz w:val="18"/>
                <w:szCs w:val="18"/>
                <w:b w:val="1"/>
                <w:bCs w:val="1"/>
                <w:color w:val="FFFFFF"/>
                <w:vertAlign w:val="superscript"/>
              </w:rPr>
              <w:t>(1)</w:t>
            </w:r>
          </w:p>
        </w:tc>
      </w:tr>
      <w:tr>
        <w:trPr>
          <w:trHeight w:val="185"/>
        </w:trPr>
        <w:tc>
          <w:tcPr>
            <w:tcW w:w="486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2440" w:type="dxa"/>
            <w:vAlign w:val="bottom"/>
            <w:shd w:val="clear" w:color="auto" w:fill="C43776"/>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78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5"/>
        </w:trPr>
        <w:tc>
          <w:tcPr>
            <w:tcW w:w="4860" w:type="dxa"/>
            <w:vAlign w:val="bottom"/>
            <w:shd w:val="clear" w:color="auto" w:fill="C43776"/>
          </w:tcPr>
          <w:p>
            <w:pPr>
              <w:spacing w:after="0"/>
              <w:rPr>
                <w:sz w:val="8"/>
                <w:szCs w:val="8"/>
                <w:color w:val="auto"/>
              </w:rPr>
            </w:pPr>
          </w:p>
        </w:tc>
        <w:tc>
          <w:tcPr>
            <w:tcW w:w="2440" w:type="dxa"/>
            <w:vAlign w:val="bottom"/>
            <w:shd w:val="clear" w:color="auto" w:fill="C43776"/>
          </w:tcPr>
          <w:p>
            <w:pPr>
              <w:spacing w:after="0"/>
              <w:rPr>
                <w:sz w:val="8"/>
                <w:szCs w:val="8"/>
                <w:color w:val="auto"/>
              </w:rPr>
            </w:pPr>
          </w:p>
        </w:tc>
        <w:tc>
          <w:tcPr>
            <w:tcW w:w="1780" w:type="dxa"/>
            <w:vAlign w:val="bottom"/>
            <w:shd w:val="clear" w:color="auto" w:fill="C43776"/>
          </w:tcPr>
          <w:p>
            <w:pPr>
              <w:spacing w:after="0"/>
              <w:rPr>
                <w:sz w:val="8"/>
                <w:szCs w:val="8"/>
                <w:color w:val="auto"/>
              </w:rPr>
            </w:pP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24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3"/>
        </w:trPr>
        <w:tc>
          <w:tcPr>
            <w:tcW w:w="48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90"/>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244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3,875,360</w:t>
            </w:r>
          </w:p>
        </w:tc>
        <w:tc>
          <w:tcPr>
            <w:tcW w:w="17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42,308</w:t>
            </w: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24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43"/>
        </w:trPr>
        <w:tc>
          <w:tcPr>
            <w:tcW w:w="48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90"/>
        </w:trPr>
        <w:tc>
          <w:tcPr>
            <w:tcW w:w="48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244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68"/>
        </w:trPr>
        <w:tc>
          <w:tcPr>
            <w:tcW w:w="486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2440" w:type="dxa"/>
            <w:vAlign w:val="bottom"/>
          </w:tcPr>
          <w:p>
            <w:pPr>
              <w:jc w:val="right"/>
              <w:ind w:right="368"/>
              <w:spacing w:after="0"/>
              <w:rPr>
                <w:sz w:val="20"/>
                <w:szCs w:val="20"/>
                <w:color w:val="auto"/>
              </w:rPr>
            </w:pPr>
            <w:r>
              <w:rPr>
                <w:rFonts w:ascii="Arial" w:cs="Arial" w:eastAsia="Arial" w:hAnsi="Arial"/>
                <w:sz w:val="14"/>
                <w:szCs w:val="14"/>
                <w:color w:val="auto"/>
              </w:rPr>
              <w:t>5,600,000</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71,989</w:t>
            </w:r>
          </w:p>
        </w:tc>
      </w:tr>
      <w:tr>
        <w:trPr>
          <w:trHeight w:val="43"/>
        </w:trPr>
        <w:tc>
          <w:tcPr>
            <w:tcW w:w="4860" w:type="dxa"/>
            <w:vAlign w:val="bottom"/>
            <w:tcBorders>
              <w:bottom w:val="single" w:sz="8" w:color="C43776"/>
            </w:tcBorders>
          </w:tcPr>
          <w:p>
            <w:pPr>
              <w:spacing w:after="0"/>
              <w:rPr>
                <w:sz w:val="3"/>
                <w:szCs w:val="3"/>
                <w:color w:val="auto"/>
              </w:rPr>
            </w:pPr>
          </w:p>
        </w:tc>
        <w:tc>
          <w:tcPr>
            <w:tcW w:w="2440" w:type="dxa"/>
            <w:vAlign w:val="bottom"/>
            <w:tcBorders>
              <w:bottom w:val="single" w:sz="8" w:color="C43776"/>
            </w:tcBorders>
          </w:tcPr>
          <w:p>
            <w:pPr>
              <w:spacing w:after="0"/>
              <w:rPr>
                <w:sz w:val="3"/>
                <w:szCs w:val="3"/>
                <w:color w:val="auto"/>
              </w:rPr>
            </w:pPr>
          </w:p>
        </w:tc>
        <w:tc>
          <w:tcPr>
            <w:tcW w:w="1780" w:type="dxa"/>
            <w:vAlign w:val="bottom"/>
            <w:tcBorders>
              <w:bottom w:val="single" w:sz="8" w:color="C43776"/>
            </w:tcBorders>
          </w:tcPr>
          <w:p>
            <w:pPr>
              <w:spacing w:after="0"/>
              <w:rPr>
                <w:sz w:val="3"/>
                <w:szCs w:val="3"/>
                <w:color w:val="auto"/>
              </w:rPr>
            </w:pPr>
          </w:p>
        </w:tc>
      </w:tr>
    </w:tbl>
    <w:p>
      <w:pPr>
        <w:spacing w:after="0" w:line="106" w:lineRule="exact"/>
        <w:rPr>
          <w:sz w:val="20"/>
          <w:szCs w:val="20"/>
          <w:color w:val="auto"/>
        </w:rPr>
      </w:pPr>
    </w:p>
    <w:p>
      <w:pPr>
        <w:ind w:left="340" w:right="260" w:hanging="332"/>
        <w:spacing w:after="0" w:line="250" w:lineRule="auto"/>
        <w:tabs>
          <w:tab w:leader="none" w:pos="34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The target number of stock options was calculated using the Black-Scholes model on the grant date. Figures in the tables under “2025 Named Executive Officer Compensation” beginning on page 45 may be slightly different as they reflect specific accounting methodologies required for table reporting as described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35</w:t>
      </w:r>
    </w:p>
    <w:p>
      <w:pPr>
        <w:sectPr>
          <w:pgSz w:w="11900" w:h="16838" w:orient="portrait"/>
          <w:cols w:equalWidth="0" w:num="1">
            <w:col w:w="9080"/>
          </w:cols>
          <w:pgMar w:left="1400" w:top="729" w:right="1419" w:bottom="1440" w:gutter="0" w:footer="0" w:header="0"/>
        </w:sectPr>
      </w:pPr>
    </w:p>
    <w:bookmarkStart w:id="41" w:name="page42"/>
    <w:bookmarkEnd w:id="41"/>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color w:val="auto"/>
        </w:rPr>
        <w:t>2025 Performance-Based Equity Goals and Payout Results</w:t>
      </w:r>
    </w:p>
    <w:p>
      <w:pPr>
        <w:spacing w:after="0" w:line="13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Our CEO makes recommendations regarding individual, business unit, and/or corporate goals for our other NEOs, which are reviewed and approved by the compensation committee.</w:t>
      </w:r>
    </w:p>
    <w:p>
      <w:pPr>
        <w:spacing w:after="0" w:line="8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tables below show the maximum potential payout that would apply in the event of achievement of maximum results under the applicable performance metrics. The awards were designed so that performance below certain thresholds would result in no payout for a given goal. We disclose below the performance goals associated with the three-year performance period Long-Term Equity Incentive and performance-based Stock Options. However, because we do not provide long-term revenue or earnings guidance, the specific goal levels tied to those performance metrics are not detailed in this filing. We expect to disclose the goals and payout results in the Proxy Statement filing that follows the end of the performance period (in the 2028 Proxy Statement or the 2029 Proxy Statement, as applicable).</w:t>
      </w:r>
    </w:p>
    <w:p>
      <w:pPr>
        <w:spacing w:after="0" w:line="12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tables below illustrate, for each participating NEO, (1) the applicable performance goals for each grant, (2) actual performance with respect to the performance metrics (where applicable) for each grant, and (3) the number of performance-based shares earned in 2025 (a portion of which may still be subject to service-based vesting conditions) for each grant. The number of performance-based shares earned for performance falling between the “threshold” and “maximum” performance levels set forth in the tables below was determined using linear interpolation between performance levels (subject to rounding).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C43776"/>
        </w:rPr>
        <w:t>Ronald F. Clarke: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Bonus Equity Incentive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Mr. Clarke’s 2025 Annual Bonus Equity Incentive Goals and Results are in the table below:</w:t>
      </w:r>
    </w:p>
    <w:p>
      <w:pPr>
        <w:spacing w:after="0" w:line="285" w:lineRule="exact"/>
        <w:rPr>
          <w:sz w:val="20"/>
          <w:szCs w:val="20"/>
          <w:color w:val="auto"/>
        </w:rPr>
      </w:pPr>
    </w:p>
    <w:p>
      <w:pPr>
        <w:jc w:val="center"/>
        <w:ind w:right="560"/>
        <w:spacing w:after="0"/>
        <w:rPr>
          <w:sz w:val="20"/>
          <w:szCs w:val="20"/>
          <w:color w:val="auto"/>
        </w:rPr>
      </w:pPr>
      <w:r>
        <w:rPr>
          <w:rFonts w:ascii="Arial" w:cs="Arial" w:eastAsia="Arial" w:hAnsi="Arial"/>
          <w:sz w:val="13"/>
          <w:szCs w:val="13"/>
          <w:b w:val="1"/>
          <w:bCs w:val="1"/>
          <w:color w:val="FFFFFF"/>
        </w:rPr>
        <w:t>GOALS</w:t>
      </w:r>
    </w:p>
    <w:p>
      <w:pPr>
        <w:spacing w:after="0" w:line="11" w:lineRule="exact"/>
        <w:rPr>
          <w:sz w:val="20"/>
          <w:szCs w:val="20"/>
          <w:color w:val="auto"/>
        </w:rPr>
      </w:pPr>
    </w:p>
    <w:p>
      <w:pPr>
        <w:jc w:val="center"/>
        <w:ind w:right="560"/>
        <w:spacing w:after="0"/>
        <w:rPr>
          <w:sz w:val="20"/>
          <w:szCs w:val="20"/>
          <w:color w:val="auto"/>
        </w:rPr>
      </w:pPr>
      <w:r>
        <w:rPr>
          <w:rFonts w:ascii="Arial" w:cs="Arial" w:eastAsia="Arial" w:hAnsi="Arial"/>
          <w:sz w:val="13"/>
          <w:szCs w:val="13"/>
          <w:b w:val="1"/>
          <w:bCs w:val="1"/>
          <w:color w:val="FFFFFF"/>
        </w:rPr>
        <w:t>($ values in millions, except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144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c>
          <w:tcPr>
            <w:tcW w:w="9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Target</w:t>
            </w:r>
          </w:p>
        </w:tc>
        <w:tc>
          <w:tcPr>
            <w:tcW w:w="1040" w:type="dxa"/>
            <w:vAlign w:val="bottom"/>
            <w:shd w:val="clear" w:color="auto" w:fill="C43776"/>
          </w:tcPr>
          <w:p>
            <w:pPr>
              <w:spacing w:after="0"/>
              <w:rPr>
                <w:sz w:val="14"/>
                <w:szCs w:val="14"/>
                <w:color w:val="auto"/>
              </w:rPr>
            </w:pPr>
          </w:p>
        </w:tc>
        <w:tc>
          <w:tcPr>
            <w:tcW w:w="78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c>
          <w:tcPr>
            <w:tcW w:w="700" w:type="dxa"/>
            <w:vAlign w:val="bottom"/>
            <w:shd w:val="clear" w:color="auto" w:fill="C43776"/>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FFFFFF"/>
              </w:rPr>
              <w:t>Achievement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44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c>
          <w:tcPr>
            <w:tcW w:w="9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 values</w:t>
            </w:r>
          </w:p>
        </w:tc>
        <w:tc>
          <w:tcPr>
            <w:tcW w:w="1040" w:type="dxa"/>
            <w:vAlign w:val="bottom"/>
            <w:shd w:val="clear" w:color="auto" w:fill="C43776"/>
          </w:tcPr>
          <w:p>
            <w:pPr>
              <w:spacing w:after="0"/>
              <w:rPr>
                <w:sz w:val="14"/>
                <w:szCs w:val="14"/>
                <w:color w:val="auto"/>
              </w:rPr>
            </w:pPr>
          </w:p>
        </w:tc>
        <w:tc>
          <w:tcPr>
            <w:tcW w:w="78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c>
          <w:tcPr>
            <w:tcW w:w="700" w:type="dxa"/>
            <w:vAlign w:val="bottom"/>
            <w:shd w:val="clear" w:color="auto" w:fill="C43776"/>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FFFFFF"/>
              </w:rPr>
              <w:t>($ values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40" w:type="dxa"/>
            <w:vAlign w:val="bottom"/>
            <w:shd w:val="clear" w:color="auto" w:fill="C43776"/>
          </w:tcPr>
          <w:p>
            <w:pPr>
              <w:spacing w:after="0"/>
              <w:rPr>
                <w:sz w:val="12"/>
                <w:szCs w:val="12"/>
                <w:color w:val="auto"/>
              </w:rPr>
            </w:pPr>
          </w:p>
        </w:tc>
        <w:tc>
          <w:tcPr>
            <w:tcW w:w="720" w:type="dxa"/>
            <w:vAlign w:val="bottom"/>
            <w:shd w:val="clear" w:color="auto" w:fill="C43776"/>
          </w:tcPr>
          <w:p>
            <w:pPr>
              <w:spacing w:after="0"/>
              <w:rPr>
                <w:sz w:val="12"/>
                <w:szCs w:val="12"/>
                <w:color w:val="auto"/>
              </w:rPr>
            </w:pPr>
          </w:p>
        </w:tc>
        <w:tc>
          <w:tcPr>
            <w:tcW w:w="9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in millions,</w:t>
            </w:r>
          </w:p>
        </w:tc>
        <w:tc>
          <w:tcPr>
            <w:tcW w:w="1040" w:type="dxa"/>
            <w:vAlign w:val="bottom"/>
            <w:vMerge w:val="restart"/>
            <w:shd w:val="clear" w:color="auto" w:fill="C43776"/>
          </w:tcPr>
          <w:p>
            <w:pPr>
              <w:jc w:val="right"/>
              <w:ind w:right="72"/>
              <w:spacing w:after="0"/>
              <w:rPr>
                <w:sz w:val="20"/>
                <w:szCs w:val="20"/>
                <w:color w:val="auto"/>
              </w:rPr>
            </w:pPr>
            <w:r>
              <w:rPr>
                <w:rFonts w:ascii="Arial" w:cs="Arial" w:eastAsia="Arial" w:hAnsi="Arial"/>
                <w:sz w:val="13"/>
                <w:szCs w:val="13"/>
                <w:b w:val="1"/>
                <w:bCs w:val="1"/>
                <w:color w:val="FFFFFF"/>
              </w:rPr>
              <w:t>Threshold</w:t>
            </w:r>
            <w:r>
              <w:rPr>
                <w:rFonts w:ascii="Arial" w:cs="Arial" w:eastAsia="Arial" w:hAnsi="Arial"/>
                <w:sz w:val="16"/>
                <w:szCs w:val="16"/>
                <w:b w:val="1"/>
                <w:bCs w:val="1"/>
                <w:color w:val="FFFFFF"/>
                <w:vertAlign w:val="superscript"/>
              </w:rPr>
              <w:t>(1)</w:t>
            </w:r>
          </w:p>
        </w:tc>
        <w:tc>
          <w:tcPr>
            <w:tcW w:w="780" w:type="dxa"/>
            <w:vAlign w:val="bottom"/>
            <w:shd w:val="clear" w:color="auto" w:fill="C43776"/>
          </w:tcPr>
          <w:p>
            <w:pPr>
              <w:jc w:val="right"/>
              <w:ind w:right="93"/>
              <w:spacing w:after="0"/>
              <w:rPr>
                <w:sz w:val="20"/>
                <w:szCs w:val="20"/>
                <w:color w:val="auto"/>
              </w:rPr>
            </w:pPr>
            <w:r>
              <w:rPr>
                <w:rFonts w:ascii="Arial" w:cs="Arial" w:eastAsia="Arial" w:hAnsi="Arial"/>
                <w:sz w:val="13"/>
                <w:szCs w:val="13"/>
                <w:b w:val="1"/>
                <w:bCs w:val="1"/>
                <w:color w:val="FFFFFF"/>
              </w:rPr>
              <w:t>Below</w:t>
            </w:r>
          </w:p>
        </w:tc>
        <w:tc>
          <w:tcPr>
            <w:tcW w:w="720" w:type="dxa"/>
            <w:vAlign w:val="bottom"/>
            <w:shd w:val="clear" w:color="auto" w:fill="C43776"/>
          </w:tcPr>
          <w:p>
            <w:pPr>
              <w:spacing w:after="0"/>
              <w:rPr>
                <w:sz w:val="12"/>
                <w:szCs w:val="12"/>
                <w:color w:val="auto"/>
              </w:rPr>
            </w:pPr>
          </w:p>
        </w:tc>
        <w:tc>
          <w:tcPr>
            <w:tcW w:w="720" w:type="dxa"/>
            <w:vAlign w:val="bottom"/>
            <w:shd w:val="clear" w:color="auto" w:fill="C43776"/>
          </w:tcPr>
          <w:p>
            <w:pPr>
              <w:ind w:left="240"/>
              <w:spacing w:after="0"/>
              <w:rPr>
                <w:sz w:val="20"/>
                <w:szCs w:val="20"/>
                <w:color w:val="auto"/>
              </w:rPr>
            </w:pPr>
            <w:r>
              <w:rPr>
                <w:rFonts w:ascii="Arial" w:cs="Arial" w:eastAsia="Arial" w:hAnsi="Arial"/>
                <w:sz w:val="13"/>
                <w:szCs w:val="13"/>
                <w:b w:val="1"/>
                <w:bCs w:val="1"/>
                <w:color w:val="FFFFFF"/>
              </w:rPr>
              <w:t>Above</w:t>
            </w:r>
          </w:p>
        </w:tc>
        <w:tc>
          <w:tcPr>
            <w:tcW w:w="700" w:type="dxa"/>
            <w:vAlign w:val="bottom"/>
            <w:shd w:val="clear" w:color="auto" w:fill="C43776"/>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FFFFFF"/>
              </w:rPr>
              <w:t>in millions,</w:t>
            </w:r>
          </w:p>
        </w:tc>
        <w:tc>
          <w:tcPr>
            <w:tcW w:w="900" w:type="dxa"/>
            <w:vAlign w:val="bottom"/>
          </w:tcPr>
          <w:p>
            <w:pPr>
              <w:jc w:val="right"/>
              <w:ind w:right="91"/>
              <w:spacing w:after="0"/>
              <w:rPr>
                <w:sz w:val="20"/>
                <w:szCs w:val="20"/>
                <w:color w:val="auto"/>
              </w:rPr>
            </w:pPr>
            <w:r>
              <w:rPr>
                <w:rFonts w:ascii="Arial" w:cs="Arial" w:eastAsia="Arial" w:hAnsi="Arial"/>
                <w:sz w:val="13"/>
                <w:szCs w:val="13"/>
                <w:b w:val="1"/>
                <w:bCs w:val="1"/>
                <w:color w:val="FFFFFF"/>
              </w:rPr>
              <w:t>Target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440" w:type="dxa"/>
            <w:vAlign w:val="bottom"/>
            <w:shd w:val="clear" w:color="auto" w:fill="C43776"/>
          </w:tcPr>
          <w:p>
            <w:pPr>
              <w:spacing w:after="0"/>
              <w:rPr>
                <w:sz w:val="12"/>
                <w:szCs w:val="12"/>
                <w:color w:val="auto"/>
              </w:rPr>
            </w:pP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Weighting</w:t>
            </w:r>
          </w:p>
        </w:tc>
        <w:tc>
          <w:tcPr>
            <w:tcW w:w="9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except per</w:t>
            </w:r>
          </w:p>
        </w:tc>
        <w:tc>
          <w:tcPr>
            <w:tcW w:w="1040" w:type="dxa"/>
            <w:vAlign w:val="bottom"/>
            <w:vMerge w:val="continue"/>
            <w:shd w:val="clear" w:color="auto" w:fill="C43776"/>
          </w:tcPr>
          <w:p>
            <w:pPr>
              <w:spacing w:after="0"/>
              <w:rPr>
                <w:sz w:val="12"/>
                <w:szCs w:val="12"/>
                <w:color w:val="auto"/>
              </w:rPr>
            </w:pPr>
          </w:p>
        </w:tc>
        <w:tc>
          <w:tcPr>
            <w:tcW w:w="780" w:type="dxa"/>
            <w:vAlign w:val="bottom"/>
            <w:shd w:val="clear" w:color="auto" w:fill="C43776"/>
          </w:tcPr>
          <w:p>
            <w:pPr>
              <w:jc w:val="right"/>
              <w:ind w:right="113"/>
              <w:spacing w:after="0"/>
              <w:rPr>
                <w:sz w:val="20"/>
                <w:szCs w:val="20"/>
                <w:color w:val="auto"/>
              </w:rPr>
            </w:pPr>
            <w:r>
              <w:rPr>
                <w:rFonts w:ascii="Arial" w:cs="Arial" w:eastAsia="Arial" w:hAnsi="Arial"/>
                <w:sz w:val="13"/>
                <w:szCs w:val="13"/>
                <w:b w:val="1"/>
                <w:bCs w:val="1"/>
                <w:color w:val="FFFFFF"/>
              </w:rPr>
              <w:t>Target</w:t>
            </w:r>
          </w:p>
        </w:tc>
        <w:tc>
          <w:tcPr>
            <w:tcW w:w="720" w:type="dxa"/>
            <w:vAlign w:val="bottom"/>
            <w:shd w:val="clear" w:color="auto" w:fill="C43776"/>
          </w:tcPr>
          <w:p>
            <w:pPr>
              <w:jc w:val="right"/>
              <w:ind w:right="72"/>
              <w:spacing w:after="0"/>
              <w:rPr>
                <w:sz w:val="20"/>
                <w:szCs w:val="20"/>
                <w:color w:val="auto"/>
              </w:rPr>
            </w:pPr>
            <w:r>
              <w:rPr>
                <w:rFonts w:ascii="Arial" w:cs="Arial" w:eastAsia="Arial" w:hAnsi="Arial"/>
                <w:sz w:val="13"/>
                <w:szCs w:val="13"/>
                <w:b w:val="1"/>
                <w:bCs w:val="1"/>
                <w:color w:val="FFFFFF"/>
              </w:rPr>
              <w:t>Target</w:t>
            </w:r>
          </w:p>
        </w:tc>
        <w:tc>
          <w:tcPr>
            <w:tcW w:w="720" w:type="dxa"/>
            <w:vAlign w:val="bottom"/>
            <w:shd w:val="clear" w:color="auto" w:fill="C43776"/>
          </w:tcPr>
          <w:p>
            <w:pPr>
              <w:ind w:left="240"/>
              <w:spacing w:after="0"/>
              <w:rPr>
                <w:sz w:val="20"/>
                <w:szCs w:val="20"/>
                <w:color w:val="auto"/>
              </w:rPr>
            </w:pPr>
            <w:r>
              <w:rPr>
                <w:rFonts w:ascii="Arial" w:cs="Arial" w:eastAsia="Arial" w:hAnsi="Arial"/>
                <w:sz w:val="13"/>
                <w:szCs w:val="13"/>
                <w:b w:val="1"/>
                <w:bCs w:val="1"/>
                <w:color w:val="FFFFFF"/>
              </w:rPr>
              <w:t>Target</w:t>
            </w:r>
          </w:p>
        </w:tc>
        <w:tc>
          <w:tcPr>
            <w:tcW w:w="7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Maximum</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FFFFFF"/>
              </w:rPr>
              <w:t>except per</w:t>
            </w: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FFFFFF"/>
              </w:rPr>
              <w:t>Earned</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440" w:type="dxa"/>
            <w:vAlign w:val="bottom"/>
            <w:shd w:val="clear" w:color="auto" w:fill="C43776"/>
          </w:tcPr>
          <w:p>
            <w:pPr>
              <w:ind w:left="40"/>
              <w:spacing w:after="0"/>
              <w:rPr>
                <w:sz w:val="20"/>
                <w:szCs w:val="20"/>
                <w:color w:val="auto"/>
              </w:rPr>
            </w:pPr>
            <w:r>
              <w:rPr>
                <w:rFonts w:ascii="Arial" w:cs="Arial" w:eastAsia="Arial" w:hAnsi="Arial"/>
                <w:sz w:val="13"/>
                <w:szCs w:val="13"/>
                <w:b w:val="1"/>
                <w:bCs w:val="1"/>
                <w:color w:val="FFFFFF"/>
              </w:rPr>
              <w:t>Performance Metric</w:t>
            </w: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share amount)</w:t>
            </w:r>
          </w:p>
        </w:tc>
        <w:tc>
          <w:tcPr>
            <w:tcW w:w="1040" w:type="dxa"/>
            <w:vAlign w:val="bottom"/>
            <w:shd w:val="clear" w:color="auto" w:fill="C43776"/>
          </w:tcPr>
          <w:p>
            <w:pPr>
              <w:jc w:val="right"/>
              <w:ind w:right="72"/>
              <w:spacing w:after="0"/>
              <w:rPr>
                <w:sz w:val="20"/>
                <w:szCs w:val="20"/>
                <w:color w:val="auto"/>
              </w:rPr>
            </w:pPr>
            <w:r>
              <w:rPr>
                <w:rFonts w:ascii="Arial" w:cs="Arial" w:eastAsia="Arial" w:hAnsi="Arial"/>
                <w:sz w:val="13"/>
                <w:szCs w:val="13"/>
                <w:b w:val="1"/>
                <w:bCs w:val="1"/>
                <w:color w:val="FFFFFF"/>
              </w:rPr>
              <w:t>(25%/30%/0%)</w:t>
            </w:r>
          </w:p>
        </w:tc>
        <w:tc>
          <w:tcPr>
            <w:tcW w:w="780" w:type="dxa"/>
            <w:vAlign w:val="bottom"/>
            <w:shd w:val="clear" w:color="auto" w:fill="C43776"/>
          </w:tcPr>
          <w:p>
            <w:pPr>
              <w:jc w:val="right"/>
              <w:ind w:right="93"/>
              <w:spacing w:after="0"/>
              <w:rPr>
                <w:sz w:val="20"/>
                <w:szCs w:val="20"/>
                <w:color w:val="auto"/>
              </w:rPr>
            </w:pPr>
            <w:r>
              <w:rPr>
                <w:rFonts w:ascii="Arial" w:cs="Arial" w:eastAsia="Arial" w:hAnsi="Arial"/>
                <w:sz w:val="13"/>
                <w:szCs w:val="13"/>
                <w:b w:val="1"/>
                <w:bCs w:val="1"/>
                <w:color w:val="FFFFFF"/>
              </w:rPr>
              <w:t>(50%)</w:t>
            </w:r>
          </w:p>
        </w:tc>
        <w:tc>
          <w:tcPr>
            <w:tcW w:w="720" w:type="dxa"/>
            <w:vAlign w:val="bottom"/>
            <w:shd w:val="clear" w:color="auto" w:fill="C43776"/>
          </w:tcPr>
          <w:p>
            <w:pPr>
              <w:jc w:val="right"/>
              <w:ind w:right="52"/>
              <w:spacing w:after="0"/>
              <w:rPr>
                <w:sz w:val="20"/>
                <w:szCs w:val="20"/>
                <w:color w:val="auto"/>
              </w:rPr>
            </w:pPr>
            <w:r>
              <w:rPr>
                <w:rFonts w:ascii="Arial" w:cs="Arial" w:eastAsia="Arial" w:hAnsi="Arial"/>
                <w:sz w:val="13"/>
                <w:szCs w:val="13"/>
                <w:b w:val="1"/>
                <w:bCs w:val="1"/>
                <w:color w:val="FFFFFF"/>
              </w:rPr>
              <w:t>(100%)</w:t>
            </w:r>
          </w:p>
        </w:tc>
        <w:tc>
          <w:tcPr>
            <w:tcW w:w="720" w:type="dxa"/>
            <w:vAlign w:val="bottom"/>
            <w:shd w:val="clear" w:color="auto" w:fill="C43776"/>
          </w:tcPr>
          <w:p>
            <w:pPr>
              <w:jc w:val="right"/>
              <w:ind w:right="31"/>
              <w:spacing w:after="0"/>
              <w:rPr>
                <w:sz w:val="20"/>
                <w:szCs w:val="20"/>
                <w:color w:val="auto"/>
              </w:rPr>
            </w:pPr>
            <w:r>
              <w:rPr>
                <w:rFonts w:ascii="Arial" w:cs="Arial" w:eastAsia="Arial" w:hAnsi="Arial"/>
                <w:sz w:val="13"/>
                <w:szCs w:val="13"/>
                <w:b w:val="1"/>
                <w:bCs w:val="1"/>
                <w:color w:val="FFFFFF"/>
              </w:rPr>
              <w:t>(150%)</w:t>
            </w:r>
          </w:p>
        </w:tc>
        <w:tc>
          <w:tcPr>
            <w:tcW w:w="7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(200%)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FFFFFF"/>
              </w:rPr>
              <w:t>share amount)</w:t>
            </w:r>
          </w:p>
        </w:tc>
        <w:tc>
          <w:tcPr>
            <w:tcW w:w="900" w:type="dxa"/>
            <w:vAlign w:val="bottom"/>
          </w:tcPr>
          <w:p>
            <w:pPr>
              <w:jc w:val="right"/>
              <w:ind w:right="7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44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c>
          <w:tcPr>
            <w:tcW w:w="960" w:type="dxa"/>
            <w:vAlign w:val="bottom"/>
            <w:shd w:val="clear" w:color="auto" w:fill="C43776"/>
          </w:tcPr>
          <w:p>
            <w:pPr>
              <w:spacing w:after="0"/>
              <w:rPr>
                <w:sz w:val="8"/>
                <w:szCs w:val="8"/>
                <w:color w:val="auto"/>
              </w:rPr>
            </w:pPr>
          </w:p>
        </w:tc>
        <w:tc>
          <w:tcPr>
            <w:tcW w:w="1040" w:type="dxa"/>
            <w:vAlign w:val="bottom"/>
            <w:shd w:val="clear" w:color="auto" w:fill="C43776"/>
          </w:tcPr>
          <w:p>
            <w:pPr>
              <w:spacing w:after="0"/>
              <w:rPr>
                <w:sz w:val="8"/>
                <w:szCs w:val="8"/>
                <w:color w:val="auto"/>
              </w:rPr>
            </w:pPr>
          </w:p>
        </w:tc>
        <w:tc>
          <w:tcPr>
            <w:tcW w:w="78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c>
          <w:tcPr>
            <w:tcW w:w="700" w:type="dxa"/>
            <w:vAlign w:val="bottom"/>
            <w:shd w:val="clear" w:color="auto" w:fill="C43776"/>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0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14"/>
                <w:szCs w:val="14"/>
                <w:color w:val="auto"/>
              </w:rPr>
              <w:t>GAAP Revenue, as</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34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4,487</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4,352.4</w:t>
            </w: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color w:val="auto"/>
              </w:rPr>
              <w:t>4,397.3</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4,487</w:t>
            </w: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4,531.9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4,576.7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4,447.2</w:t>
            </w:r>
          </w:p>
        </w:tc>
        <w:tc>
          <w:tcPr>
            <w:tcW w:w="900" w:type="dxa"/>
            <w:vAlign w:val="bottom"/>
            <w:vMerge w:val="restart"/>
          </w:tcPr>
          <w:p>
            <w:pPr>
              <w:jc w:val="right"/>
              <w:ind w:right="91"/>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40" w:type="dxa"/>
            <w:vAlign w:val="bottom"/>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8"/>
                <w:szCs w:val="18"/>
                <w:color w:val="auto"/>
                <w:vertAlign w:val="superscript"/>
              </w:rPr>
              <w:t>(2)</w:t>
            </w:r>
          </w:p>
        </w:tc>
        <w:tc>
          <w:tcPr>
            <w:tcW w:w="7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100" w:type="dxa"/>
            <w:vAlign w:val="bottom"/>
            <w:shd w:val="clear" w:color="auto" w:fill="F1F2F2"/>
          </w:tcPr>
          <w:p>
            <w:pPr>
              <w:spacing w:after="0"/>
              <w:rPr>
                <w:sz w:val="24"/>
                <w:szCs w:val="24"/>
                <w:color w:val="auto"/>
              </w:rPr>
            </w:pPr>
          </w:p>
        </w:tc>
        <w:tc>
          <w:tcPr>
            <w:tcW w:w="1440" w:type="dxa"/>
            <w:vAlign w:val="bottom"/>
            <w:shd w:val="clear" w:color="auto" w:fill="F1F2F2"/>
          </w:tcPr>
          <w:p>
            <w:pPr>
              <w:ind w:left="40"/>
              <w:spacing w:after="0"/>
              <w:rPr>
                <w:sz w:val="20"/>
                <w:szCs w:val="20"/>
                <w:color w:val="auto"/>
              </w:rPr>
            </w:pPr>
            <w:r>
              <w:rPr>
                <w:rFonts w:ascii="Arial" w:cs="Arial" w:eastAsia="Arial" w:hAnsi="Arial"/>
                <w:sz w:val="14"/>
                <w:szCs w:val="14"/>
                <w:color w:val="auto"/>
              </w:rPr>
              <w:t>Adjusted</w:t>
            </w:r>
          </w:p>
        </w:tc>
        <w:tc>
          <w:tcPr>
            <w:tcW w:w="720" w:type="dxa"/>
            <w:vAlign w:val="bottom"/>
            <w:vMerge w:val="restart"/>
            <w:shd w:val="clear" w:color="auto" w:fill="F1F2F2"/>
          </w:tcPr>
          <w:p>
            <w:pPr>
              <w:jc w:val="right"/>
              <w:ind w:right="12"/>
              <w:spacing w:after="0"/>
              <w:rPr>
                <w:sz w:val="20"/>
                <w:szCs w:val="20"/>
                <w:color w:val="auto"/>
              </w:rPr>
            </w:pPr>
            <w:r>
              <w:rPr>
                <w:rFonts w:ascii="Arial" w:cs="Arial" w:eastAsia="Arial" w:hAnsi="Arial"/>
                <w:sz w:val="14"/>
                <w:szCs w:val="14"/>
                <w:color w:val="auto"/>
              </w:rPr>
              <w:t>33</w:t>
            </w:r>
          </w:p>
        </w:tc>
        <w:tc>
          <w:tcPr>
            <w:tcW w:w="96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21.07</w:t>
            </w:r>
          </w:p>
        </w:tc>
        <w:tc>
          <w:tcPr>
            <w:tcW w:w="1040" w:type="dxa"/>
            <w:vAlign w:val="bottom"/>
            <w:vMerge w:val="restart"/>
            <w:shd w:val="clear" w:color="auto" w:fill="F1F2F2"/>
          </w:tcPr>
          <w:p>
            <w:pPr>
              <w:jc w:val="right"/>
              <w:ind w:right="72"/>
              <w:spacing w:after="0"/>
              <w:rPr>
                <w:sz w:val="20"/>
                <w:szCs w:val="20"/>
                <w:color w:val="auto"/>
              </w:rPr>
            </w:pPr>
            <w:r>
              <w:rPr>
                <w:rFonts w:ascii="Arial" w:cs="Arial" w:eastAsia="Arial" w:hAnsi="Arial"/>
                <w:sz w:val="14"/>
                <w:szCs w:val="14"/>
                <w:color w:val="auto"/>
              </w:rPr>
              <w:t>20.54</w:t>
            </w:r>
          </w:p>
        </w:tc>
        <w:tc>
          <w:tcPr>
            <w:tcW w:w="780" w:type="dxa"/>
            <w:vAlign w:val="bottom"/>
            <w:vMerge w:val="restart"/>
            <w:shd w:val="clear" w:color="auto" w:fill="F1F2F2"/>
          </w:tcPr>
          <w:p>
            <w:pPr>
              <w:jc w:val="right"/>
              <w:ind w:right="93"/>
              <w:spacing w:after="0"/>
              <w:rPr>
                <w:sz w:val="20"/>
                <w:szCs w:val="20"/>
                <w:color w:val="auto"/>
              </w:rPr>
            </w:pPr>
            <w:r>
              <w:rPr>
                <w:rFonts w:ascii="Arial" w:cs="Arial" w:eastAsia="Arial" w:hAnsi="Arial"/>
                <w:sz w:val="14"/>
                <w:szCs w:val="14"/>
                <w:color w:val="auto"/>
              </w:rPr>
              <w:t>20.75</w:t>
            </w:r>
          </w:p>
        </w:tc>
        <w:tc>
          <w:tcPr>
            <w:tcW w:w="720" w:type="dxa"/>
            <w:vAlign w:val="bottom"/>
            <w:vMerge w:val="restart"/>
            <w:shd w:val="clear" w:color="auto" w:fill="F1F2F2"/>
          </w:tcPr>
          <w:p>
            <w:pPr>
              <w:jc w:val="right"/>
              <w:ind w:right="52"/>
              <w:spacing w:after="0"/>
              <w:rPr>
                <w:sz w:val="20"/>
                <w:szCs w:val="20"/>
                <w:color w:val="auto"/>
              </w:rPr>
            </w:pPr>
            <w:r>
              <w:rPr>
                <w:rFonts w:ascii="Arial" w:cs="Arial" w:eastAsia="Arial" w:hAnsi="Arial"/>
                <w:sz w:val="14"/>
                <w:szCs w:val="14"/>
                <w:color w:val="auto"/>
              </w:rPr>
              <w:t>21.07</w:t>
            </w:r>
          </w:p>
        </w:tc>
        <w:tc>
          <w:tcPr>
            <w:tcW w:w="720" w:type="dxa"/>
            <w:vAlign w:val="bottom"/>
            <w:vMerge w:val="restart"/>
            <w:shd w:val="clear" w:color="auto" w:fill="F1F2F2"/>
          </w:tcPr>
          <w:p>
            <w:pPr>
              <w:jc w:val="right"/>
              <w:ind w:right="31"/>
              <w:spacing w:after="0"/>
              <w:rPr>
                <w:sz w:val="20"/>
                <w:szCs w:val="20"/>
                <w:color w:val="auto"/>
              </w:rPr>
            </w:pPr>
            <w:r>
              <w:rPr>
                <w:rFonts w:ascii="Arial" w:cs="Arial" w:eastAsia="Arial" w:hAnsi="Arial"/>
                <w:sz w:val="14"/>
                <w:szCs w:val="14"/>
                <w:color w:val="auto"/>
              </w:rPr>
              <w:t>21.25</w:t>
            </w:r>
          </w:p>
        </w:tc>
        <w:tc>
          <w:tcPr>
            <w:tcW w:w="70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21.39</w:t>
            </w:r>
          </w:p>
        </w:tc>
        <w:tc>
          <w:tcPr>
            <w:tcW w:w="100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21.06</w:t>
            </w:r>
          </w:p>
        </w:tc>
        <w:tc>
          <w:tcPr>
            <w:tcW w:w="900" w:type="dxa"/>
            <w:vAlign w:val="bottom"/>
            <w:vMerge w:val="restart"/>
            <w:shd w:val="clear" w:color="auto" w:fill="F1F2F2"/>
          </w:tcPr>
          <w:p>
            <w:pPr>
              <w:jc w:val="right"/>
              <w:ind w:right="91"/>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09"/>
        </w:trPr>
        <w:tc>
          <w:tcPr>
            <w:tcW w:w="100" w:type="dxa"/>
            <w:vAlign w:val="bottom"/>
            <w:shd w:val="clear" w:color="auto" w:fill="F1F2F2"/>
          </w:tcPr>
          <w:p>
            <w:pPr>
              <w:spacing w:after="0"/>
              <w:rPr>
                <w:sz w:val="9"/>
                <w:szCs w:val="9"/>
                <w:color w:val="auto"/>
              </w:rPr>
            </w:pPr>
          </w:p>
        </w:tc>
        <w:tc>
          <w:tcPr>
            <w:tcW w:w="1440" w:type="dxa"/>
            <w:vAlign w:val="bottom"/>
            <w:vMerge w:val="restart"/>
            <w:shd w:val="clear" w:color="auto" w:fill="F1F2F2"/>
          </w:tcPr>
          <w:p>
            <w:pPr>
              <w:ind w:left="40"/>
              <w:spacing w:after="0"/>
              <w:rPr>
                <w:sz w:val="20"/>
                <w:szCs w:val="20"/>
                <w:color w:val="auto"/>
              </w:rPr>
            </w:pPr>
            <w:r>
              <w:rPr>
                <w:rFonts w:ascii="Arial" w:cs="Arial" w:eastAsia="Arial" w:hAnsi="Arial"/>
                <w:sz w:val="14"/>
                <w:szCs w:val="14"/>
                <w:color w:val="auto"/>
              </w:rPr>
              <w:t>EPS-COMP</w:t>
            </w:r>
          </w:p>
        </w:tc>
        <w:tc>
          <w:tcPr>
            <w:tcW w:w="720" w:type="dxa"/>
            <w:vAlign w:val="bottom"/>
            <w:vMerge w:val="continue"/>
            <w:shd w:val="clear" w:color="auto" w:fill="F1F2F2"/>
          </w:tcPr>
          <w:p>
            <w:pPr>
              <w:spacing w:after="0"/>
              <w:rPr>
                <w:sz w:val="9"/>
                <w:szCs w:val="9"/>
                <w:color w:val="auto"/>
              </w:rPr>
            </w:pPr>
          </w:p>
        </w:tc>
        <w:tc>
          <w:tcPr>
            <w:tcW w:w="960" w:type="dxa"/>
            <w:vAlign w:val="bottom"/>
            <w:vMerge w:val="continue"/>
            <w:shd w:val="clear" w:color="auto" w:fill="F1F2F2"/>
          </w:tcPr>
          <w:p>
            <w:pPr>
              <w:spacing w:after="0"/>
              <w:rPr>
                <w:sz w:val="9"/>
                <w:szCs w:val="9"/>
                <w:color w:val="auto"/>
              </w:rPr>
            </w:pPr>
          </w:p>
        </w:tc>
        <w:tc>
          <w:tcPr>
            <w:tcW w:w="1040" w:type="dxa"/>
            <w:vAlign w:val="bottom"/>
            <w:vMerge w:val="continue"/>
            <w:shd w:val="clear" w:color="auto" w:fill="F1F2F2"/>
          </w:tcPr>
          <w:p>
            <w:pPr>
              <w:spacing w:after="0"/>
              <w:rPr>
                <w:sz w:val="9"/>
                <w:szCs w:val="9"/>
                <w:color w:val="auto"/>
              </w:rPr>
            </w:pPr>
          </w:p>
        </w:tc>
        <w:tc>
          <w:tcPr>
            <w:tcW w:w="780" w:type="dxa"/>
            <w:vAlign w:val="bottom"/>
            <w:vMerge w:val="continue"/>
            <w:shd w:val="clear" w:color="auto" w:fill="F1F2F2"/>
          </w:tcPr>
          <w:p>
            <w:pPr>
              <w:spacing w:after="0"/>
              <w:rPr>
                <w:sz w:val="9"/>
                <w:szCs w:val="9"/>
                <w:color w:val="auto"/>
              </w:rPr>
            </w:pPr>
          </w:p>
        </w:tc>
        <w:tc>
          <w:tcPr>
            <w:tcW w:w="720" w:type="dxa"/>
            <w:vAlign w:val="bottom"/>
            <w:vMerge w:val="continue"/>
            <w:shd w:val="clear" w:color="auto" w:fill="F1F2F2"/>
          </w:tcPr>
          <w:p>
            <w:pPr>
              <w:spacing w:after="0"/>
              <w:rPr>
                <w:sz w:val="9"/>
                <w:szCs w:val="9"/>
                <w:color w:val="auto"/>
              </w:rPr>
            </w:pPr>
          </w:p>
        </w:tc>
        <w:tc>
          <w:tcPr>
            <w:tcW w:w="720" w:type="dxa"/>
            <w:vAlign w:val="bottom"/>
            <w:vMerge w:val="continue"/>
            <w:shd w:val="clear" w:color="auto" w:fill="F1F2F2"/>
          </w:tcPr>
          <w:p>
            <w:pPr>
              <w:spacing w:after="0"/>
              <w:rPr>
                <w:sz w:val="9"/>
                <w:szCs w:val="9"/>
                <w:color w:val="auto"/>
              </w:rPr>
            </w:pPr>
          </w:p>
        </w:tc>
        <w:tc>
          <w:tcPr>
            <w:tcW w:w="700" w:type="dxa"/>
            <w:vAlign w:val="bottom"/>
            <w:vMerge w:val="continue"/>
            <w:shd w:val="clear" w:color="auto" w:fill="F1F2F2"/>
          </w:tcPr>
          <w:p>
            <w:pPr>
              <w:spacing w:after="0"/>
              <w:rPr>
                <w:sz w:val="9"/>
                <w:szCs w:val="9"/>
                <w:color w:val="auto"/>
              </w:rPr>
            </w:pPr>
          </w:p>
        </w:tc>
        <w:tc>
          <w:tcPr>
            <w:tcW w:w="1000" w:type="dxa"/>
            <w:vAlign w:val="bottom"/>
            <w:vMerge w:val="continue"/>
            <w:shd w:val="clear" w:color="auto" w:fill="F1F2F2"/>
          </w:tcPr>
          <w:p>
            <w:pPr>
              <w:spacing w:after="0"/>
              <w:rPr>
                <w:sz w:val="9"/>
                <w:szCs w:val="9"/>
                <w:color w:val="auto"/>
              </w:rPr>
            </w:pPr>
          </w:p>
        </w:tc>
        <w:tc>
          <w:tcPr>
            <w:tcW w:w="90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1F2F2"/>
          </w:tcPr>
          <w:p>
            <w:pPr>
              <w:spacing w:after="0"/>
              <w:rPr>
                <w:sz w:val="7"/>
                <w:szCs w:val="7"/>
                <w:color w:val="auto"/>
              </w:rPr>
            </w:pPr>
          </w:p>
        </w:tc>
        <w:tc>
          <w:tcPr>
            <w:tcW w:w="1440" w:type="dxa"/>
            <w:vAlign w:val="bottom"/>
            <w:vMerge w:val="continue"/>
            <w:shd w:val="clear" w:color="auto" w:fill="F1F2F2"/>
          </w:tcPr>
          <w:p>
            <w:pPr>
              <w:spacing w:after="0"/>
              <w:rPr>
                <w:sz w:val="7"/>
                <w:szCs w:val="7"/>
                <w:color w:val="auto"/>
              </w:rPr>
            </w:pPr>
          </w:p>
        </w:tc>
        <w:tc>
          <w:tcPr>
            <w:tcW w:w="720" w:type="dxa"/>
            <w:vAlign w:val="bottom"/>
            <w:shd w:val="clear" w:color="auto" w:fill="F1F2F2"/>
          </w:tcPr>
          <w:p>
            <w:pPr>
              <w:spacing w:after="0"/>
              <w:rPr>
                <w:sz w:val="7"/>
                <w:szCs w:val="7"/>
                <w:color w:val="auto"/>
              </w:rPr>
            </w:pPr>
          </w:p>
        </w:tc>
        <w:tc>
          <w:tcPr>
            <w:tcW w:w="96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720" w:type="dxa"/>
            <w:vAlign w:val="bottom"/>
            <w:shd w:val="clear" w:color="auto" w:fill="F1F2F2"/>
          </w:tcPr>
          <w:p>
            <w:pPr>
              <w:spacing w:after="0"/>
              <w:rPr>
                <w:sz w:val="7"/>
                <w:szCs w:val="7"/>
                <w:color w:val="auto"/>
              </w:rPr>
            </w:pPr>
          </w:p>
        </w:tc>
        <w:tc>
          <w:tcPr>
            <w:tcW w:w="72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1000" w:type="dxa"/>
            <w:vAlign w:val="bottom"/>
            <w:shd w:val="clear" w:color="auto" w:fill="F1F2F2"/>
          </w:tcPr>
          <w:p>
            <w:pPr>
              <w:spacing w:after="0"/>
              <w:rPr>
                <w:sz w:val="7"/>
                <w:szCs w:val="7"/>
                <w:color w:val="auto"/>
              </w:rPr>
            </w:pPr>
          </w:p>
        </w:tc>
        <w:tc>
          <w:tcPr>
            <w:tcW w:w="9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00" w:type="dxa"/>
            <w:vAlign w:val="bottom"/>
            <w:shd w:val="clear" w:color="auto" w:fill="F1F2F2"/>
          </w:tcPr>
          <w:p>
            <w:pPr>
              <w:spacing w:after="0"/>
              <w:rPr>
                <w:sz w:val="8"/>
                <w:szCs w:val="8"/>
                <w:color w:val="auto"/>
              </w:rPr>
            </w:pPr>
          </w:p>
        </w:tc>
        <w:tc>
          <w:tcPr>
            <w:tcW w:w="144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960" w:type="dxa"/>
            <w:vAlign w:val="bottom"/>
            <w:shd w:val="clear" w:color="auto" w:fill="F1F2F2"/>
          </w:tcPr>
          <w:p>
            <w:pPr>
              <w:spacing w:after="0"/>
              <w:rPr>
                <w:sz w:val="8"/>
                <w:szCs w:val="8"/>
                <w:color w:val="auto"/>
              </w:rPr>
            </w:pPr>
          </w:p>
        </w:tc>
        <w:tc>
          <w:tcPr>
            <w:tcW w:w="1040" w:type="dxa"/>
            <w:vAlign w:val="bottom"/>
            <w:shd w:val="clear" w:color="auto" w:fill="F1F2F2"/>
          </w:tcPr>
          <w:p>
            <w:pPr>
              <w:spacing w:after="0"/>
              <w:rPr>
                <w:sz w:val="8"/>
                <w:szCs w:val="8"/>
                <w:color w:val="auto"/>
              </w:rPr>
            </w:pPr>
          </w:p>
        </w:tc>
        <w:tc>
          <w:tcPr>
            <w:tcW w:w="78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700" w:type="dxa"/>
            <w:vAlign w:val="bottom"/>
            <w:shd w:val="clear" w:color="auto" w:fill="F1F2F2"/>
          </w:tcPr>
          <w:p>
            <w:pPr>
              <w:spacing w:after="0"/>
              <w:rPr>
                <w:sz w:val="8"/>
                <w:szCs w:val="8"/>
                <w:color w:val="auto"/>
              </w:rPr>
            </w:pPr>
          </w:p>
        </w:tc>
        <w:tc>
          <w:tcPr>
            <w:tcW w:w="1000" w:type="dxa"/>
            <w:vAlign w:val="bottom"/>
            <w:shd w:val="clear" w:color="auto" w:fill="F1F2F2"/>
          </w:tcPr>
          <w:p>
            <w:pPr>
              <w:spacing w:after="0"/>
              <w:rPr>
                <w:sz w:val="8"/>
                <w:szCs w:val="8"/>
                <w:color w:val="auto"/>
              </w:rPr>
            </w:pPr>
          </w:p>
        </w:tc>
        <w:tc>
          <w:tcPr>
            <w:tcW w:w="9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0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14"/>
                <w:szCs w:val="14"/>
                <w:color w:val="auto"/>
              </w:rPr>
              <w:t>M&amp;A and Other</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33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color w:val="auto"/>
              </w:rPr>
              <w:t>0</w:t>
            </w: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color w:val="auto"/>
              </w:rPr>
              <w:t>500</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1,000</w:t>
            </w: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1,500</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2,000</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3,203</w:t>
            </w:r>
          </w:p>
        </w:tc>
        <w:tc>
          <w:tcPr>
            <w:tcW w:w="900" w:type="dxa"/>
            <w:vAlign w:val="bottom"/>
            <w:vMerge w:val="restart"/>
          </w:tcPr>
          <w:p>
            <w:pPr>
              <w:jc w:val="right"/>
              <w:ind w:right="91"/>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440" w:type="dxa"/>
            <w:vAlign w:val="bottom"/>
          </w:tcPr>
          <w:p>
            <w:pPr>
              <w:ind w:left="40"/>
              <w:spacing w:after="0"/>
              <w:rPr>
                <w:sz w:val="20"/>
                <w:szCs w:val="20"/>
                <w:color w:val="auto"/>
              </w:rPr>
            </w:pPr>
            <w:r>
              <w:rPr>
                <w:rFonts w:ascii="Arial" w:cs="Arial" w:eastAsia="Arial" w:hAnsi="Arial"/>
                <w:sz w:val="14"/>
                <w:szCs w:val="14"/>
                <w:color w:val="auto"/>
              </w:rPr>
              <w:t>Transactions</w:t>
            </w:r>
            <w:r>
              <w:rPr>
                <w:rFonts w:ascii="Arial" w:cs="Arial" w:eastAsia="Arial" w:hAnsi="Arial"/>
                <w:sz w:val="18"/>
                <w:szCs w:val="18"/>
                <w:color w:val="auto"/>
                <w:vertAlign w:val="superscript"/>
              </w:rPr>
              <w:t>(3)</w:t>
            </w:r>
          </w:p>
        </w:tc>
        <w:tc>
          <w:tcPr>
            <w:tcW w:w="7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C43776"/>
            </w:tcBorders>
          </w:tcPr>
          <w:p>
            <w:pPr>
              <w:spacing w:after="0"/>
              <w:rPr>
                <w:sz w:val="3"/>
                <w:szCs w:val="3"/>
                <w:color w:val="auto"/>
              </w:rPr>
            </w:pPr>
          </w:p>
        </w:tc>
        <w:tc>
          <w:tcPr>
            <w:tcW w:w="1440" w:type="dxa"/>
            <w:vAlign w:val="bottom"/>
            <w:tcBorders>
              <w:bottom w:val="single" w:sz="8" w:color="C43776"/>
            </w:tcBorders>
          </w:tcPr>
          <w:p>
            <w:pPr>
              <w:spacing w:after="0"/>
              <w:rPr>
                <w:sz w:val="3"/>
                <w:szCs w:val="3"/>
                <w:color w:val="auto"/>
              </w:rPr>
            </w:pPr>
          </w:p>
        </w:tc>
        <w:tc>
          <w:tcPr>
            <w:tcW w:w="720" w:type="dxa"/>
            <w:vAlign w:val="bottom"/>
            <w:tcBorders>
              <w:bottom w:val="single" w:sz="8" w:color="C43776"/>
            </w:tcBorders>
          </w:tcPr>
          <w:p>
            <w:pPr>
              <w:spacing w:after="0"/>
              <w:rPr>
                <w:sz w:val="3"/>
                <w:szCs w:val="3"/>
                <w:color w:val="auto"/>
              </w:rPr>
            </w:pPr>
          </w:p>
        </w:tc>
        <w:tc>
          <w:tcPr>
            <w:tcW w:w="960" w:type="dxa"/>
            <w:vAlign w:val="bottom"/>
            <w:tcBorders>
              <w:bottom w:val="single" w:sz="8" w:color="C43776"/>
            </w:tcBorders>
          </w:tcPr>
          <w:p>
            <w:pPr>
              <w:spacing w:after="0"/>
              <w:rPr>
                <w:sz w:val="3"/>
                <w:szCs w:val="3"/>
                <w:color w:val="auto"/>
              </w:rPr>
            </w:pPr>
          </w:p>
        </w:tc>
        <w:tc>
          <w:tcPr>
            <w:tcW w:w="1040" w:type="dxa"/>
            <w:vAlign w:val="bottom"/>
            <w:tcBorders>
              <w:bottom w:val="single" w:sz="8" w:color="C43776"/>
            </w:tcBorders>
          </w:tcPr>
          <w:p>
            <w:pPr>
              <w:spacing w:after="0"/>
              <w:rPr>
                <w:sz w:val="3"/>
                <w:szCs w:val="3"/>
                <w:color w:val="auto"/>
              </w:rPr>
            </w:pPr>
          </w:p>
        </w:tc>
        <w:tc>
          <w:tcPr>
            <w:tcW w:w="780" w:type="dxa"/>
            <w:vAlign w:val="bottom"/>
            <w:tcBorders>
              <w:bottom w:val="single" w:sz="8" w:color="C43776"/>
            </w:tcBorders>
          </w:tcPr>
          <w:p>
            <w:pPr>
              <w:spacing w:after="0"/>
              <w:rPr>
                <w:sz w:val="3"/>
                <w:szCs w:val="3"/>
                <w:color w:val="auto"/>
              </w:rPr>
            </w:pPr>
          </w:p>
        </w:tc>
        <w:tc>
          <w:tcPr>
            <w:tcW w:w="720" w:type="dxa"/>
            <w:vAlign w:val="bottom"/>
            <w:tcBorders>
              <w:bottom w:val="single" w:sz="8" w:color="C43776"/>
            </w:tcBorders>
          </w:tcPr>
          <w:p>
            <w:pPr>
              <w:spacing w:after="0"/>
              <w:rPr>
                <w:sz w:val="3"/>
                <w:szCs w:val="3"/>
                <w:color w:val="auto"/>
              </w:rPr>
            </w:pPr>
          </w:p>
        </w:tc>
        <w:tc>
          <w:tcPr>
            <w:tcW w:w="2420" w:type="dxa"/>
            <w:vAlign w:val="bottom"/>
            <w:tcBorders>
              <w:bottom w:val="single" w:sz="8" w:color="C43776"/>
            </w:tcBorders>
            <w:gridSpan w:val="3"/>
          </w:tcPr>
          <w:p>
            <w:pPr>
              <w:spacing w:after="0"/>
              <w:rPr>
                <w:sz w:val="3"/>
                <w:szCs w:val="3"/>
                <w:color w:val="auto"/>
              </w:rPr>
            </w:pPr>
          </w:p>
        </w:tc>
        <w:tc>
          <w:tcPr>
            <w:tcW w:w="900" w:type="dxa"/>
            <w:vAlign w:val="bottom"/>
            <w:tcBorders>
              <w:bottom w:val="single" w:sz="8" w:color="C43776"/>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Target Number of Shares</w:t>
            </w:r>
          </w:p>
        </w:tc>
        <w:tc>
          <w:tcPr>
            <w:tcW w:w="900" w:type="dxa"/>
            <w:vAlign w:val="bottom"/>
          </w:tcPr>
          <w:p>
            <w:pPr>
              <w:jc w:val="right"/>
              <w:ind w:right="71"/>
              <w:spacing w:after="0"/>
              <w:rPr>
                <w:sz w:val="20"/>
                <w:szCs w:val="20"/>
                <w:color w:val="auto"/>
              </w:rPr>
            </w:pPr>
            <w:r>
              <w:rPr>
                <w:rFonts w:ascii="Arial" w:cs="Arial" w:eastAsia="Arial" w:hAnsi="Arial"/>
                <w:sz w:val="14"/>
                <w:szCs w:val="14"/>
                <w:b w:val="1"/>
                <w:bCs w:val="1"/>
                <w:color w:val="auto"/>
              </w:rPr>
              <w:t>5,301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Formulaic Earned Payout %</w:t>
            </w:r>
          </w:p>
        </w:tc>
        <w:tc>
          <w:tcPr>
            <w:tcW w:w="900" w:type="dxa"/>
            <w:vAlign w:val="bottom"/>
          </w:tcPr>
          <w:p>
            <w:pPr>
              <w:jc w:val="right"/>
              <w:ind w:right="31"/>
              <w:spacing w:after="0"/>
              <w:rPr>
                <w:sz w:val="20"/>
                <w:szCs w:val="20"/>
                <w:color w:val="auto"/>
              </w:rPr>
            </w:pPr>
            <w:r>
              <w:rPr>
                <w:rFonts w:ascii="Arial" w:cs="Arial" w:eastAsia="Arial" w:hAnsi="Arial"/>
                <w:sz w:val="14"/>
                <w:szCs w:val="14"/>
                <w:b w:val="1"/>
                <w:bCs w:val="1"/>
                <w:color w:val="auto"/>
              </w:rPr>
              <w:t>125.06 %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2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Earned Number of Shares</w:t>
            </w:r>
          </w:p>
        </w:tc>
        <w:tc>
          <w:tcPr>
            <w:tcW w:w="900" w:type="dxa"/>
            <w:vAlign w:val="bottom"/>
          </w:tcPr>
          <w:p>
            <w:pPr>
              <w:jc w:val="right"/>
              <w:ind w:right="71"/>
              <w:spacing w:after="0"/>
              <w:rPr>
                <w:sz w:val="20"/>
                <w:szCs w:val="20"/>
                <w:color w:val="auto"/>
              </w:rPr>
            </w:pPr>
            <w:r>
              <w:rPr>
                <w:rFonts w:ascii="Arial" w:cs="Arial" w:eastAsia="Arial" w:hAnsi="Arial"/>
                <w:sz w:val="14"/>
                <w:szCs w:val="14"/>
                <w:b w:val="1"/>
                <w:bCs w:val="1"/>
                <w:color w:val="auto"/>
              </w:rPr>
              <w:t>6,630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The threshold payout levels for GAAP Revenue, Adjusted EPS-COMP and M&amp;A are 25%, 30% and 0%, respectively.</w:t>
      </w:r>
    </w:p>
    <w:p>
      <w:pPr>
        <w:spacing w:after="0" w:line="53" w:lineRule="exact"/>
        <w:rPr>
          <w:rFonts w:ascii="Arial" w:cs="Arial" w:eastAsia="Arial" w:hAnsi="Arial"/>
          <w:sz w:val="13"/>
          <w:szCs w:val="13"/>
          <w:i w:val="1"/>
          <w:iCs w:val="1"/>
          <w:color w:val="auto"/>
        </w:rPr>
      </w:pPr>
    </w:p>
    <w:p>
      <w:pPr>
        <w:ind w:left="340" w:right="260" w:hanging="332"/>
        <w:spacing w:after="0" w:line="283" w:lineRule="auto"/>
        <w:tabs>
          <w:tab w:leader="none" w:pos="34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Adjusted to be consistent with the macro-economic environment assumed in the 2025 budget and revised for the pro-forma impact of acquisitions and/or divestitures.</w:t>
      </w:r>
    </w:p>
    <w:p>
      <w:pPr>
        <w:spacing w:after="0" w:line="11" w:lineRule="exact"/>
        <w:rPr>
          <w:rFonts w:ascii="Arial" w:cs="Arial" w:eastAsia="Arial" w:hAnsi="Arial"/>
          <w:sz w:val="13"/>
          <w:szCs w:val="13"/>
          <w:i w:val="1"/>
          <w:iCs w:val="1"/>
          <w:color w:val="auto"/>
        </w:rPr>
      </w:pPr>
    </w:p>
    <w:p>
      <w:pPr>
        <w:ind w:left="340" w:right="400" w:hanging="332"/>
        <w:spacing w:after="0" w:line="261" w:lineRule="auto"/>
        <w:tabs>
          <w:tab w:leader="none" w:pos="34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Based upon the aggregate transaction value of material mergers and acquisitions, divestitures or joint ventures for which the Company signs definitive documentation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36</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sectPr>
      </w:pPr>
    </w:p>
    <w:bookmarkStart w:id="42" w:name="page43"/>
    <w:bookmarkEnd w:id="42"/>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C43776"/>
        </w:rPr>
        <w:t>Peter Walker: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Annual Equity Incentive</w:t>
      </w:r>
    </w:p>
    <w:p>
      <w:pPr>
        <w:spacing w:after="0" w:line="5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highlight w:val="white"/>
        </w:rPr>
        <w:t xml:space="preserve">Our Adjusted EPS-COMP for 2025 was </w:t>
      </w:r>
      <w:r>
        <w:rPr>
          <w:rFonts w:ascii="Arial" w:cs="Arial" w:eastAsia="Arial" w:hAnsi="Arial"/>
          <w:sz w:val="16"/>
          <w:szCs w:val="16"/>
          <w:color w:val="auto"/>
        </w:rPr>
        <w:t>$21.06 against a target of $21.07. The compensation committee therefore determined</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that the payout percentage was 98.8% based on the </w:t>
      </w:r>
      <w:r>
        <w:rPr>
          <w:rFonts w:ascii="Arial" w:cs="Arial" w:eastAsia="Arial" w:hAnsi="Arial"/>
          <w:sz w:val="16"/>
          <w:szCs w:val="16"/>
          <w:color w:val="auto"/>
          <w:highlight w:val="white"/>
        </w:rPr>
        <w:t>linear performance payout scale outlined earlier.</w:t>
      </w:r>
      <w:r>
        <w:rPr>
          <w:rFonts w:ascii="Arial" w:cs="Arial" w:eastAsia="Arial" w:hAnsi="Arial"/>
          <w:sz w:val="16"/>
          <w:szCs w:val="16"/>
          <w:color w:val="auto"/>
        </w:rPr>
        <w:t xml:space="preserve"> Mr. Walker’s Company Annual Equity Incentive was earned at 568 shares.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Equity Incentive</w:t>
      </w:r>
    </w:p>
    <w:p>
      <w:pPr>
        <w:spacing w:after="0" w:line="59"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Mr. Walker’s 2025 Long-Term Equity Incentive grant with a one-year performance period was earned based on achievement against a target goal of Corpay consolidated full-year GAAP revenue, as adjusted, of $4,487 million for 2025 (all dollar values in millions).</w:t>
      </w:r>
      <w:r>
        <w:rPr>
          <w:rFonts w:ascii="Arial" w:cs="Arial" w:eastAsia="Arial" w:hAnsi="Arial"/>
          <w:sz w:val="21"/>
          <w:szCs w:val="21"/>
          <w:color w:val="auto"/>
          <w:vertAlign w:val="superscript"/>
        </w:rPr>
        <w:t>(1)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Below</w:t>
            </w:r>
          </w:p>
        </w:tc>
        <w:tc>
          <w:tcPr>
            <w:tcW w:w="1000" w:type="dxa"/>
            <w:vAlign w:val="bottom"/>
            <w:shd w:val="clear" w:color="auto" w:fill="C43776"/>
          </w:tcPr>
          <w:p>
            <w:pPr>
              <w:spacing w:after="0"/>
              <w:rPr>
                <w:sz w:val="23"/>
                <w:szCs w:val="23"/>
                <w:color w:val="auto"/>
              </w:rPr>
            </w:pPr>
          </w:p>
        </w:tc>
        <w:tc>
          <w:tcPr>
            <w:tcW w:w="84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Below</w:t>
            </w:r>
          </w:p>
        </w:tc>
        <w:tc>
          <w:tcPr>
            <w:tcW w:w="82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Below</w:t>
            </w:r>
          </w:p>
        </w:tc>
        <w:tc>
          <w:tcPr>
            <w:tcW w:w="840" w:type="dxa"/>
            <w:vAlign w:val="bottom"/>
            <w:shd w:val="clear" w:color="auto" w:fill="C43776"/>
          </w:tcPr>
          <w:p>
            <w:pPr>
              <w:spacing w:after="0"/>
              <w:rPr>
                <w:sz w:val="23"/>
                <w:szCs w:val="23"/>
                <w:color w:val="auto"/>
              </w:rPr>
            </w:pPr>
          </w:p>
        </w:tc>
        <w:tc>
          <w:tcPr>
            <w:tcW w:w="76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Above</w:t>
            </w:r>
          </w:p>
        </w:tc>
        <w:tc>
          <w:tcPr>
            <w:tcW w:w="840" w:type="dxa"/>
            <w:vAlign w:val="bottom"/>
            <w:shd w:val="clear" w:color="auto" w:fill="C43776"/>
          </w:tcPr>
          <w:p>
            <w:pPr>
              <w:spacing w:after="0"/>
              <w:rPr>
                <w:sz w:val="23"/>
                <w:szCs w:val="23"/>
                <w:color w:val="auto"/>
              </w:rPr>
            </w:pPr>
          </w:p>
        </w:tc>
        <w:tc>
          <w:tcPr>
            <w:tcW w:w="1040" w:type="dxa"/>
            <w:vAlign w:val="bottom"/>
            <w:shd w:val="clear" w:color="auto" w:fill="C43776"/>
          </w:tcPr>
          <w:p>
            <w:pPr>
              <w:spacing w:after="0"/>
              <w:rPr>
                <w:sz w:val="23"/>
                <w:szCs w:val="23"/>
                <w:color w:val="auto"/>
              </w:rPr>
            </w:pPr>
          </w:p>
        </w:tc>
        <w:tc>
          <w:tcPr>
            <w:tcW w:w="900" w:type="dxa"/>
            <w:vAlign w:val="bottom"/>
            <w:shd w:val="clear" w:color="auto" w:fill="C43776"/>
          </w:tcPr>
          <w:p>
            <w:pPr>
              <w:spacing w:after="0"/>
              <w:rPr>
                <w:sz w:val="23"/>
                <w:szCs w:val="23"/>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Performance-</w:t>
            </w:r>
          </w:p>
        </w:tc>
      </w:tr>
      <w:tr>
        <w:trPr>
          <w:trHeight w:val="149"/>
        </w:trPr>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Threshold</w:t>
            </w:r>
          </w:p>
        </w:tc>
        <w:tc>
          <w:tcPr>
            <w:tcW w:w="100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Threshold</w:t>
            </w:r>
          </w:p>
        </w:tc>
        <w:tc>
          <w:tcPr>
            <w:tcW w:w="84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Target</w:t>
            </w:r>
          </w:p>
        </w:tc>
        <w:tc>
          <w:tcPr>
            <w:tcW w:w="82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Target</w:t>
            </w:r>
          </w:p>
        </w:tc>
        <w:tc>
          <w:tcPr>
            <w:tcW w:w="84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Target</w:t>
            </w:r>
          </w:p>
        </w:tc>
        <w:tc>
          <w:tcPr>
            <w:tcW w:w="76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Target</w:t>
            </w:r>
          </w:p>
        </w:tc>
        <w:tc>
          <w:tcPr>
            <w:tcW w:w="84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Maximum</w:t>
            </w:r>
          </w:p>
        </w:tc>
        <w:tc>
          <w:tcPr>
            <w:tcW w:w="1040" w:type="dxa"/>
            <w:vAlign w:val="bottom"/>
            <w:shd w:val="clear" w:color="auto" w:fill="C43776"/>
          </w:tcPr>
          <w:p>
            <w:pPr>
              <w:spacing w:after="0"/>
              <w:rPr>
                <w:sz w:val="12"/>
                <w:szCs w:val="12"/>
                <w:color w:val="auto"/>
              </w:rPr>
            </w:pPr>
          </w:p>
        </w:tc>
        <w:tc>
          <w:tcPr>
            <w:tcW w:w="900" w:type="dxa"/>
            <w:vAlign w:val="bottom"/>
            <w:shd w:val="clear" w:color="auto" w:fill="C43776"/>
          </w:tcPr>
          <w:p>
            <w:pPr>
              <w:spacing w:after="0"/>
              <w:rPr>
                <w:sz w:val="12"/>
                <w:szCs w:val="12"/>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Based Shares</w:t>
            </w:r>
          </w:p>
        </w:tc>
      </w:tr>
      <w:tr>
        <w:trPr>
          <w:trHeight w:val="148"/>
        </w:trPr>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(0%)</w:t>
            </w:r>
          </w:p>
        </w:tc>
        <w:tc>
          <w:tcPr>
            <w:tcW w:w="100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(25%)</w:t>
            </w:r>
          </w:p>
        </w:tc>
        <w:tc>
          <w:tcPr>
            <w:tcW w:w="84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(50%)</w:t>
            </w:r>
          </w:p>
        </w:tc>
        <w:tc>
          <w:tcPr>
            <w:tcW w:w="82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(75%)</w:t>
            </w:r>
          </w:p>
        </w:tc>
        <w:tc>
          <w:tcPr>
            <w:tcW w:w="84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(100%)</w:t>
            </w:r>
          </w:p>
        </w:tc>
        <w:tc>
          <w:tcPr>
            <w:tcW w:w="76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(125%)</w:t>
            </w:r>
          </w:p>
        </w:tc>
        <w:tc>
          <w:tcPr>
            <w:tcW w:w="84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(150%)</w:t>
            </w:r>
          </w:p>
        </w:tc>
        <w:tc>
          <w:tcPr>
            <w:tcW w:w="104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Achievement</w:t>
            </w:r>
          </w:p>
        </w:tc>
        <w:tc>
          <w:tcPr>
            <w:tcW w:w="900" w:type="dxa"/>
            <w:vAlign w:val="bottom"/>
            <w:shd w:val="clear" w:color="auto" w:fill="C43776"/>
          </w:tcPr>
          <w:p>
            <w:pPr>
              <w:spacing w:after="0"/>
              <w:rPr>
                <w:sz w:val="12"/>
                <w:szCs w:val="12"/>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Earned</w:t>
            </w:r>
          </w:p>
        </w:tc>
      </w:tr>
      <w:tr>
        <w:trPr>
          <w:trHeight w:val="172"/>
        </w:trPr>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Payout (%)</w:t>
            </w: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w:t>
            </w:r>
          </w:p>
        </w:tc>
      </w:tr>
      <w:tr>
        <w:trPr>
          <w:trHeight w:val="103"/>
        </w:trPr>
        <w:tc>
          <w:tcPr>
            <w:tcW w:w="940" w:type="dxa"/>
            <w:vAlign w:val="bottom"/>
            <w:shd w:val="clear" w:color="auto" w:fill="C43776"/>
          </w:tcPr>
          <w:p>
            <w:pPr>
              <w:spacing w:after="0"/>
              <w:rPr>
                <w:sz w:val="8"/>
                <w:szCs w:val="8"/>
                <w:color w:val="auto"/>
              </w:rPr>
            </w:pPr>
          </w:p>
        </w:tc>
        <w:tc>
          <w:tcPr>
            <w:tcW w:w="100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82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76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1040" w:type="dxa"/>
            <w:vAlign w:val="bottom"/>
            <w:shd w:val="clear" w:color="auto" w:fill="C43776"/>
          </w:tcPr>
          <w:p>
            <w:pPr>
              <w:spacing w:after="0"/>
              <w:rPr>
                <w:sz w:val="8"/>
                <w:szCs w:val="8"/>
                <w:color w:val="auto"/>
              </w:rPr>
            </w:pPr>
          </w:p>
        </w:tc>
        <w:tc>
          <w:tcPr>
            <w:tcW w:w="90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r>
      <w:tr>
        <w:trPr>
          <w:trHeight w:val="215"/>
        </w:trPr>
        <w:tc>
          <w:tcPr>
            <w:tcW w:w="940" w:type="dxa"/>
            <w:vAlign w:val="bottom"/>
          </w:tcPr>
          <w:p>
            <w:pPr>
              <w:jc w:val="right"/>
              <w:spacing w:after="0"/>
              <w:rPr>
                <w:sz w:val="20"/>
                <w:szCs w:val="20"/>
                <w:color w:val="auto"/>
              </w:rPr>
            </w:pPr>
            <w:r>
              <w:rPr>
                <w:rFonts w:ascii="Arial" w:cs="Arial" w:eastAsia="Arial" w:hAnsi="Arial"/>
                <w:sz w:val="13"/>
                <w:szCs w:val="13"/>
                <w:color w:val="auto"/>
              </w:rPr>
              <w:t>&lt;4,352.4</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4,352.4</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4,397.3</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4,442.1</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4,487.0</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4,531.9</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4,576.7</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4,447.2</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938</w:t>
            </w:r>
          </w:p>
        </w:tc>
      </w:tr>
      <w:tr>
        <w:trPr>
          <w:trHeight w:val="41"/>
        </w:trPr>
        <w:tc>
          <w:tcPr>
            <w:tcW w:w="940" w:type="dxa"/>
            <w:vAlign w:val="bottom"/>
            <w:tcBorders>
              <w:bottom w:val="single" w:sz="8" w:color="C43776"/>
            </w:tcBorders>
          </w:tcPr>
          <w:p>
            <w:pPr>
              <w:spacing w:after="0"/>
              <w:rPr>
                <w:sz w:val="3"/>
                <w:szCs w:val="3"/>
                <w:color w:val="auto"/>
              </w:rPr>
            </w:pPr>
          </w:p>
        </w:tc>
        <w:tc>
          <w:tcPr>
            <w:tcW w:w="1000" w:type="dxa"/>
            <w:vAlign w:val="bottom"/>
            <w:tcBorders>
              <w:bottom w:val="single" w:sz="8" w:color="C43776"/>
            </w:tcBorders>
          </w:tcPr>
          <w:p>
            <w:pPr>
              <w:spacing w:after="0"/>
              <w:rPr>
                <w:sz w:val="3"/>
                <w:szCs w:val="3"/>
                <w:color w:val="auto"/>
              </w:rPr>
            </w:pPr>
          </w:p>
        </w:tc>
        <w:tc>
          <w:tcPr>
            <w:tcW w:w="840" w:type="dxa"/>
            <w:vAlign w:val="bottom"/>
            <w:tcBorders>
              <w:bottom w:val="single" w:sz="8" w:color="C43776"/>
            </w:tcBorders>
          </w:tcPr>
          <w:p>
            <w:pPr>
              <w:spacing w:after="0"/>
              <w:rPr>
                <w:sz w:val="3"/>
                <w:szCs w:val="3"/>
                <w:color w:val="auto"/>
              </w:rPr>
            </w:pPr>
          </w:p>
        </w:tc>
        <w:tc>
          <w:tcPr>
            <w:tcW w:w="820" w:type="dxa"/>
            <w:vAlign w:val="bottom"/>
            <w:tcBorders>
              <w:bottom w:val="single" w:sz="8" w:color="C43776"/>
            </w:tcBorders>
          </w:tcPr>
          <w:p>
            <w:pPr>
              <w:spacing w:after="0"/>
              <w:rPr>
                <w:sz w:val="3"/>
                <w:szCs w:val="3"/>
                <w:color w:val="auto"/>
              </w:rPr>
            </w:pPr>
          </w:p>
        </w:tc>
        <w:tc>
          <w:tcPr>
            <w:tcW w:w="840" w:type="dxa"/>
            <w:vAlign w:val="bottom"/>
            <w:tcBorders>
              <w:bottom w:val="single" w:sz="8" w:color="C43776"/>
            </w:tcBorders>
          </w:tcPr>
          <w:p>
            <w:pPr>
              <w:spacing w:after="0"/>
              <w:rPr>
                <w:sz w:val="3"/>
                <w:szCs w:val="3"/>
                <w:color w:val="auto"/>
              </w:rPr>
            </w:pPr>
          </w:p>
        </w:tc>
        <w:tc>
          <w:tcPr>
            <w:tcW w:w="760" w:type="dxa"/>
            <w:vAlign w:val="bottom"/>
            <w:tcBorders>
              <w:bottom w:val="single" w:sz="8" w:color="C43776"/>
            </w:tcBorders>
          </w:tcPr>
          <w:p>
            <w:pPr>
              <w:spacing w:after="0"/>
              <w:rPr>
                <w:sz w:val="3"/>
                <w:szCs w:val="3"/>
                <w:color w:val="auto"/>
              </w:rPr>
            </w:pPr>
          </w:p>
        </w:tc>
        <w:tc>
          <w:tcPr>
            <w:tcW w:w="840" w:type="dxa"/>
            <w:vAlign w:val="bottom"/>
            <w:tcBorders>
              <w:bottom w:val="single" w:sz="8" w:color="C43776"/>
            </w:tcBorders>
          </w:tcPr>
          <w:p>
            <w:pPr>
              <w:spacing w:after="0"/>
              <w:rPr>
                <w:sz w:val="3"/>
                <w:szCs w:val="3"/>
                <w:color w:val="auto"/>
              </w:rPr>
            </w:pPr>
          </w:p>
        </w:tc>
        <w:tc>
          <w:tcPr>
            <w:tcW w:w="1040" w:type="dxa"/>
            <w:vAlign w:val="bottom"/>
            <w:tcBorders>
              <w:bottom w:val="single" w:sz="8" w:color="C43776"/>
            </w:tcBorders>
          </w:tcPr>
          <w:p>
            <w:pPr>
              <w:spacing w:after="0"/>
              <w:rPr>
                <w:sz w:val="3"/>
                <w:szCs w:val="3"/>
                <w:color w:val="auto"/>
              </w:rPr>
            </w:pPr>
          </w:p>
        </w:tc>
        <w:tc>
          <w:tcPr>
            <w:tcW w:w="900" w:type="dxa"/>
            <w:vAlign w:val="bottom"/>
            <w:tcBorders>
              <w:bottom w:val="single" w:sz="8" w:color="C43776"/>
            </w:tcBorders>
          </w:tcPr>
          <w:p>
            <w:pPr>
              <w:spacing w:after="0"/>
              <w:rPr>
                <w:sz w:val="3"/>
                <w:szCs w:val="3"/>
                <w:color w:val="auto"/>
              </w:rPr>
            </w:pPr>
          </w:p>
        </w:tc>
        <w:tc>
          <w:tcPr>
            <w:tcW w:w="1100" w:type="dxa"/>
            <w:vAlign w:val="bottom"/>
            <w:tcBorders>
              <w:bottom w:val="single" w:sz="8" w:color="C43776"/>
            </w:tcBorders>
          </w:tcPr>
          <w:p>
            <w:pPr>
              <w:spacing w:after="0"/>
              <w:rPr>
                <w:sz w:val="3"/>
                <w:szCs w:val="3"/>
                <w:color w:val="auto"/>
              </w:rPr>
            </w:pPr>
          </w:p>
        </w:tc>
      </w:tr>
    </w:tbl>
    <w:p>
      <w:pPr>
        <w:spacing w:after="0" w:line="106" w:lineRule="exact"/>
        <w:rPr>
          <w:sz w:val="20"/>
          <w:szCs w:val="20"/>
          <w:color w:val="auto"/>
        </w:rPr>
      </w:pPr>
    </w:p>
    <w:p>
      <w:pPr>
        <w:ind w:left="340" w:right="140" w:hanging="332"/>
        <w:spacing w:after="0" w:line="261" w:lineRule="auto"/>
        <w:tabs>
          <w:tab w:leader="none" w:pos="340" w:val="left"/>
        </w:tabs>
        <w:numPr>
          <w:ilvl w:val="0"/>
          <w:numId w:val="41"/>
        </w:numPr>
        <w:rPr>
          <w:rFonts w:ascii="Arial" w:cs="Arial" w:eastAsia="Arial" w:hAnsi="Arial"/>
          <w:sz w:val="13"/>
          <w:szCs w:val="13"/>
          <w:i w:val="1"/>
          <w:iCs w:val="1"/>
          <w:color w:val="auto"/>
        </w:rPr>
      </w:pPr>
      <w:r>
        <w:rPr>
          <w:rFonts w:ascii="Arial" w:cs="Arial" w:eastAsia="Arial" w:hAnsi="Arial"/>
          <w:sz w:val="13"/>
          <w:szCs w:val="13"/>
          <w:i w:val="1"/>
          <w:iCs w:val="1"/>
          <w:color w:val="auto"/>
        </w:rPr>
        <w:t>Corpay consolidated full-year GAAP revenue was adjusted (a) to be consistent with the macro-economic environment assumed in the 2025 budget and (b) for the impact of acquisitions and/or divestitures.</w:t>
      </w:r>
    </w:p>
    <w:p>
      <w:pPr>
        <w:spacing w:after="0" w:line="136"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Mr. Walker’s 2025 Long-Term Equity Incentive grant with a three-year performance period is earned based on revenue growth over that period and has a maximum potential payout value equal to 150% of target.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59"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Mr. Walker’s 2025 performance-based Stock Options grant is earned based on Adjusted EPS-COMP growth for 2026 to 2028 and has a maximum potential payout value equal to 150%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0"/>
        <w:spacing w:after="0"/>
        <w:tabs>
          <w:tab w:leader="none" w:pos="18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37</w:t>
      </w:r>
    </w:p>
    <w:p>
      <w:pPr>
        <w:sectPr>
          <w:pgSz w:w="11900" w:h="16838" w:orient="portrait"/>
          <w:cols w:equalWidth="0" w:num="1">
            <w:col w:w="9080"/>
          </w:cols>
          <w:pgMar w:left="1400" w:top="729" w:right="1419" w:bottom="1440" w:gutter="0" w:footer="0" w:header="0"/>
        </w:sectPr>
      </w:pPr>
    </w:p>
    <w:bookmarkStart w:id="43" w:name="page44"/>
    <w:bookmarkEnd w:id="43"/>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C43776"/>
        </w:rPr>
        <w:t>Alissa B. Vickery: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Annual Equity Incentive</w:t>
      </w:r>
    </w:p>
    <w:p>
      <w:pPr>
        <w:spacing w:after="0" w:line="59"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highlight w:val="white"/>
        </w:rPr>
        <w:t xml:space="preserve">Our Adjusted EPS-COMP for 2025 was </w:t>
      </w:r>
      <w:r>
        <w:rPr>
          <w:rFonts w:ascii="Arial" w:cs="Arial" w:eastAsia="Arial" w:hAnsi="Arial"/>
          <w:sz w:val="16"/>
          <w:szCs w:val="16"/>
          <w:color w:val="auto"/>
        </w:rPr>
        <w:t>$21.06 against a target of $21.07. The compensation committee therefore determined</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that the payout percentage was 98.8% based on the </w:t>
      </w:r>
      <w:r>
        <w:rPr>
          <w:rFonts w:ascii="Arial" w:cs="Arial" w:eastAsia="Arial" w:hAnsi="Arial"/>
          <w:sz w:val="16"/>
          <w:szCs w:val="16"/>
          <w:color w:val="auto"/>
          <w:highlight w:val="white"/>
        </w:rPr>
        <w:t>linear performance payout scale outlined earlier.</w:t>
      </w:r>
      <w:r>
        <w:rPr>
          <w:rFonts w:ascii="Arial" w:cs="Arial" w:eastAsia="Arial" w:hAnsi="Arial"/>
          <w:sz w:val="16"/>
          <w:szCs w:val="16"/>
          <w:color w:val="auto"/>
        </w:rPr>
        <w:t xml:space="preserve"> Ms. Vickery’s Company Annual Equity Incentive was earned at 804 shares.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Bonus Equity Incentive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Ms. Vickery’s 2025 Annual Bonus Equity Incentive Goals and Results are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0" w:type="dxa"/>
            <w:vAlign w:val="bottom"/>
            <w:shd w:val="clear" w:color="auto" w:fill="C43776"/>
          </w:tcPr>
          <w:p>
            <w:pPr>
              <w:spacing w:after="0"/>
              <w:rPr>
                <w:sz w:val="23"/>
                <w:szCs w:val="23"/>
                <w:color w:val="auto"/>
              </w:rPr>
            </w:pPr>
          </w:p>
        </w:tc>
        <w:tc>
          <w:tcPr>
            <w:tcW w:w="1080" w:type="dxa"/>
            <w:vAlign w:val="bottom"/>
            <w:shd w:val="clear" w:color="auto" w:fill="C43776"/>
          </w:tcPr>
          <w:p>
            <w:pPr>
              <w:spacing w:after="0"/>
              <w:rPr>
                <w:sz w:val="23"/>
                <w:szCs w:val="23"/>
                <w:color w:val="auto"/>
              </w:rPr>
            </w:pPr>
          </w:p>
        </w:tc>
        <w:tc>
          <w:tcPr>
            <w:tcW w:w="720" w:type="dxa"/>
            <w:vAlign w:val="bottom"/>
            <w:shd w:val="clear" w:color="auto" w:fill="C43776"/>
          </w:tcPr>
          <w:p>
            <w:pPr>
              <w:spacing w:after="0"/>
              <w:rPr>
                <w:sz w:val="23"/>
                <w:szCs w:val="23"/>
                <w:color w:val="auto"/>
              </w:rPr>
            </w:pPr>
          </w:p>
        </w:tc>
        <w:tc>
          <w:tcPr>
            <w:tcW w:w="1440" w:type="dxa"/>
            <w:vAlign w:val="bottom"/>
            <w:shd w:val="clear" w:color="auto" w:fill="C43776"/>
          </w:tcPr>
          <w:p>
            <w:pPr>
              <w:spacing w:after="0"/>
              <w:rPr>
                <w:sz w:val="23"/>
                <w:szCs w:val="23"/>
                <w:color w:val="auto"/>
              </w:rPr>
            </w:pPr>
          </w:p>
        </w:tc>
        <w:tc>
          <w:tcPr>
            <w:tcW w:w="980" w:type="dxa"/>
            <w:vAlign w:val="bottom"/>
            <w:shd w:val="clear" w:color="auto" w:fill="C43776"/>
          </w:tcPr>
          <w:p>
            <w:pPr>
              <w:spacing w:after="0"/>
              <w:rPr>
                <w:sz w:val="23"/>
                <w:szCs w:val="23"/>
                <w:color w:val="auto"/>
              </w:rPr>
            </w:pPr>
          </w:p>
        </w:tc>
        <w:tc>
          <w:tcPr>
            <w:tcW w:w="1020" w:type="dxa"/>
            <w:vAlign w:val="bottom"/>
            <w:shd w:val="clear" w:color="auto" w:fill="C43776"/>
          </w:tcPr>
          <w:p>
            <w:pPr>
              <w:jc w:val="right"/>
              <w:ind w:right="313"/>
              <w:spacing w:after="0"/>
              <w:rPr>
                <w:sz w:val="20"/>
                <w:szCs w:val="20"/>
                <w:color w:val="auto"/>
              </w:rPr>
            </w:pPr>
            <w:r>
              <w:rPr>
                <w:rFonts w:ascii="Arial" w:cs="Arial" w:eastAsia="Arial" w:hAnsi="Arial"/>
                <w:sz w:val="13"/>
                <w:szCs w:val="13"/>
                <w:b w:val="1"/>
                <w:bCs w:val="1"/>
                <w:color w:val="FFFFFF"/>
              </w:rPr>
              <w:t>GOALS</w:t>
            </w:r>
          </w:p>
        </w:tc>
        <w:tc>
          <w:tcPr>
            <w:tcW w:w="840" w:type="dxa"/>
            <w:vAlign w:val="bottom"/>
            <w:shd w:val="clear" w:color="auto" w:fill="C43776"/>
          </w:tcPr>
          <w:p>
            <w:pPr>
              <w:spacing w:after="0"/>
              <w:rPr>
                <w:sz w:val="23"/>
                <w:szCs w:val="23"/>
                <w:color w:val="auto"/>
              </w:rPr>
            </w:pPr>
          </w:p>
        </w:tc>
        <w:tc>
          <w:tcPr>
            <w:tcW w:w="120" w:type="dxa"/>
            <w:vAlign w:val="bottom"/>
            <w:shd w:val="clear" w:color="auto" w:fill="C43776"/>
          </w:tcPr>
          <w:p>
            <w:pPr>
              <w:spacing w:after="0"/>
              <w:rPr>
                <w:sz w:val="23"/>
                <w:szCs w:val="23"/>
                <w:color w:val="auto"/>
              </w:rPr>
            </w:pPr>
          </w:p>
        </w:tc>
        <w:tc>
          <w:tcPr>
            <w:tcW w:w="1720" w:type="dxa"/>
            <w:vAlign w:val="bottom"/>
            <w:shd w:val="clear" w:color="auto" w:fill="C43776"/>
          </w:tcPr>
          <w:p>
            <w:pPr>
              <w:spacing w:after="0"/>
              <w:rPr>
                <w:sz w:val="23"/>
                <w:szCs w:val="23"/>
                <w:color w:val="auto"/>
              </w:rPr>
            </w:pPr>
          </w:p>
        </w:tc>
        <w:tc>
          <w:tcPr>
            <w:tcW w:w="1060" w:type="dxa"/>
            <w:vAlign w:val="bottom"/>
            <w:shd w:val="clear" w:color="auto" w:fill="C43776"/>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100" w:type="dxa"/>
            <w:vAlign w:val="bottom"/>
            <w:shd w:val="clear" w:color="auto" w:fill="C43776"/>
          </w:tcPr>
          <w:p>
            <w:pPr>
              <w:spacing w:after="0"/>
              <w:rPr>
                <w:sz w:val="24"/>
                <w:szCs w:val="24"/>
                <w:color w:val="auto"/>
              </w:rPr>
            </w:pPr>
          </w:p>
        </w:tc>
        <w:tc>
          <w:tcPr>
            <w:tcW w:w="1080" w:type="dxa"/>
            <w:vAlign w:val="bottom"/>
            <w:shd w:val="clear" w:color="auto" w:fill="C43776"/>
          </w:tcPr>
          <w:p>
            <w:pPr>
              <w:ind w:left="40"/>
              <w:spacing w:after="0"/>
              <w:rPr>
                <w:sz w:val="20"/>
                <w:szCs w:val="20"/>
                <w:color w:val="auto"/>
              </w:rPr>
            </w:pPr>
            <w:r>
              <w:rPr>
                <w:rFonts w:ascii="Arial" w:cs="Arial" w:eastAsia="Arial" w:hAnsi="Arial"/>
                <w:sz w:val="13"/>
                <w:szCs w:val="13"/>
                <w:b w:val="1"/>
                <w:bCs w:val="1"/>
                <w:color w:val="FFFFFF"/>
              </w:rPr>
              <w:t>Performance</w:t>
            </w: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Weighting</w:t>
            </w:r>
          </w:p>
        </w:tc>
        <w:tc>
          <w:tcPr>
            <w:tcW w:w="1440" w:type="dxa"/>
            <w:vAlign w:val="bottom"/>
            <w:shd w:val="clear" w:color="auto" w:fill="C43776"/>
          </w:tcPr>
          <w:p>
            <w:pPr>
              <w:spacing w:after="0"/>
              <w:rPr>
                <w:sz w:val="24"/>
                <w:szCs w:val="24"/>
                <w:color w:val="auto"/>
              </w:rPr>
            </w:pPr>
          </w:p>
        </w:tc>
        <w:tc>
          <w:tcPr>
            <w:tcW w:w="980" w:type="dxa"/>
            <w:vAlign w:val="bottom"/>
            <w:shd w:val="clear" w:color="auto" w:fill="C43776"/>
          </w:tcPr>
          <w:p>
            <w:pPr>
              <w:jc w:val="right"/>
              <w:ind w:right="72"/>
              <w:spacing w:after="0"/>
              <w:rPr>
                <w:sz w:val="20"/>
                <w:szCs w:val="20"/>
                <w:color w:val="auto"/>
              </w:rPr>
            </w:pPr>
            <w:r>
              <w:rPr>
                <w:rFonts w:ascii="Arial" w:cs="Arial" w:eastAsia="Arial" w:hAnsi="Arial"/>
                <w:sz w:val="13"/>
                <w:szCs w:val="13"/>
                <w:b w:val="1"/>
                <w:bCs w:val="1"/>
                <w:color w:val="FFFFFF"/>
              </w:rPr>
              <w:t>Threshold</w:t>
            </w:r>
          </w:p>
        </w:tc>
        <w:tc>
          <w:tcPr>
            <w:tcW w:w="1020" w:type="dxa"/>
            <w:vAlign w:val="bottom"/>
            <w:shd w:val="clear" w:color="auto" w:fill="C43776"/>
          </w:tcPr>
          <w:p>
            <w:pPr>
              <w:jc w:val="right"/>
              <w:ind w:right="113"/>
              <w:spacing w:after="0"/>
              <w:rPr>
                <w:sz w:val="20"/>
                <w:szCs w:val="20"/>
                <w:color w:val="auto"/>
              </w:rPr>
            </w:pPr>
            <w:r>
              <w:rPr>
                <w:rFonts w:ascii="Arial" w:cs="Arial" w:eastAsia="Arial" w:hAnsi="Arial"/>
                <w:sz w:val="13"/>
                <w:szCs w:val="13"/>
                <w:b w:val="1"/>
                <w:bCs w:val="1"/>
                <w:color w:val="FFFFFF"/>
              </w:rPr>
              <w:t>Target</w:t>
            </w:r>
          </w:p>
        </w:tc>
        <w:tc>
          <w:tcPr>
            <w:tcW w:w="8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Maximum</w:t>
            </w:r>
          </w:p>
        </w:tc>
        <w:tc>
          <w:tcPr>
            <w:tcW w:w="120" w:type="dxa"/>
            <w:vAlign w:val="bottom"/>
            <w:shd w:val="clear" w:color="auto" w:fill="C43776"/>
          </w:tcPr>
          <w:p>
            <w:pPr>
              <w:spacing w:after="0"/>
              <w:rPr>
                <w:sz w:val="24"/>
                <w:szCs w:val="24"/>
                <w:color w:val="auto"/>
              </w:rPr>
            </w:pPr>
          </w:p>
        </w:tc>
        <w:tc>
          <w:tcPr>
            <w:tcW w:w="1720" w:type="dxa"/>
            <w:vAlign w:val="bottom"/>
            <w:shd w:val="clear" w:color="auto" w:fill="C43776"/>
          </w:tcPr>
          <w:p>
            <w:pPr>
              <w:spacing w:after="0"/>
              <w:rPr>
                <w:sz w:val="24"/>
                <w:szCs w:val="24"/>
                <w:color w:val="auto"/>
              </w:rPr>
            </w:pPr>
          </w:p>
        </w:tc>
        <w:tc>
          <w:tcPr>
            <w:tcW w:w="1060" w:type="dxa"/>
            <w:vAlign w:val="bottom"/>
            <w:shd w:val="clear" w:color="auto" w:fill="C43776"/>
          </w:tcPr>
          <w:p>
            <w:pPr>
              <w:jc w:val="right"/>
              <w:ind w:right="91"/>
              <w:spacing w:after="0"/>
              <w:rPr>
                <w:sz w:val="20"/>
                <w:szCs w:val="20"/>
                <w:color w:val="auto"/>
              </w:rPr>
            </w:pPr>
            <w:r>
              <w:rPr>
                <w:rFonts w:ascii="Arial" w:cs="Arial" w:eastAsia="Arial" w:hAnsi="Arial"/>
                <w:sz w:val="13"/>
                <w:szCs w:val="13"/>
                <w:b w:val="1"/>
                <w:bCs w:val="1"/>
                <w:color w:val="FFFFFF"/>
              </w:rPr>
              <w:t>Target Earned</w:t>
            </w:r>
          </w:p>
        </w:tc>
        <w:tc>
          <w:tcPr>
            <w:tcW w:w="0" w:type="dxa"/>
            <w:vAlign w:val="bottom"/>
          </w:tcPr>
          <w:p>
            <w:pPr>
              <w:spacing w:after="0"/>
              <w:rPr>
                <w:sz w:val="1"/>
                <w:szCs w:val="1"/>
                <w:color w:val="auto"/>
              </w:rPr>
            </w:pPr>
          </w:p>
        </w:tc>
      </w:tr>
      <w:tr>
        <w:trPr>
          <w:trHeight w:val="166"/>
        </w:trPr>
        <w:tc>
          <w:tcPr>
            <w:tcW w:w="100" w:type="dxa"/>
            <w:vAlign w:val="bottom"/>
            <w:shd w:val="clear" w:color="auto" w:fill="C43776"/>
          </w:tcPr>
          <w:p>
            <w:pPr>
              <w:spacing w:after="0"/>
              <w:rPr>
                <w:sz w:val="14"/>
                <w:szCs w:val="14"/>
                <w:color w:val="auto"/>
              </w:rPr>
            </w:pPr>
          </w:p>
        </w:tc>
        <w:tc>
          <w:tcPr>
            <w:tcW w:w="1080" w:type="dxa"/>
            <w:vAlign w:val="bottom"/>
            <w:shd w:val="clear" w:color="auto" w:fill="C43776"/>
          </w:tcPr>
          <w:p>
            <w:pPr>
              <w:ind w:left="40"/>
              <w:spacing w:after="0"/>
              <w:rPr>
                <w:sz w:val="20"/>
                <w:szCs w:val="20"/>
                <w:color w:val="auto"/>
              </w:rPr>
            </w:pPr>
            <w:r>
              <w:rPr>
                <w:rFonts w:ascii="Arial" w:cs="Arial" w:eastAsia="Arial" w:hAnsi="Arial"/>
                <w:sz w:val="13"/>
                <w:szCs w:val="13"/>
                <w:b w:val="1"/>
                <w:bCs w:val="1"/>
                <w:color w:val="FFFFFF"/>
              </w:rPr>
              <w:t>Metric</w:t>
            </w: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   (%)</w:t>
            </w:r>
          </w:p>
        </w:tc>
        <w:tc>
          <w:tcPr>
            <w:tcW w:w="1440" w:type="dxa"/>
            <w:vAlign w:val="bottom"/>
            <w:shd w:val="clear" w:color="auto" w:fill="C43776"/>
          </w:tcPr>
          <w:p>
            <w:pPr>
              <w:jc w:val="right"/>
              <w:ind w:right="170"/>
              <w:spacing w:after="0"/>
              <w:rPr>
                <w:sz w:val="20"/>
                <w:szCs w:val="20"/>
                <w:color w:val="auto"/>
              </w:rPr>
            </w:pPr>
            <w:r>
              <w:rPr>
                <w:rFonts w:ascii="Arial" w:cs="Arial" w:eastAsia="Arial" w:hAnsi="Arial"/>
                <w:sz w:val="13"/>
                <w:szCs w:val="13"/>
                <w:b w:val="1"/>
                <w:bCs w:val="1"/>
                <w:color w:val="FFFFFF"/>
              </w:rPr>
              <w:t>Target</w:t>
            </w:r>
          </w:p>
        </w:tc>
        <w:tc>
          <w:tcPr>
            <w:tcW w:w="980" w:type="dxa"/>
            <w:vAlign w:val="bottom"/>
            <w:shd w:val="clear" w:color="auto" w:fill="C43776"/>
          </w:tcPr>
          <w:p>
            <w:pPr>
              <w:jc w:val="right"/>
              <w:ind w:right="72"/>
              <w:spacing w:after="0"/>
              <w:rPr>
                <w:sz w:val="20"/>
                <w:szCs w:val="20"/>
                <w:color w:val="auto"/>
              </w:rPr>
            </w:pPr>
            <w:r>
              <w:rPr>
                <w:rFonts w:ascii="Arial" w:cs="Arial" w:eastAsia="Arial" w:hAnsi="Arial"/>
                <w:sz w:val="13"/>
                <w:szCs w:val="13"/>
                <w:b w:val="1"/>
                <w:bCs w:val="1"/>
                <w:color w:val="FFFFFF"/>
              </w:rPr>
              <w:t>(75%)</w:t>
            </w:r>
          </w:p>
        </w:tc>
        <w:tc>
          <w:tcPr>
            <w:tcW w:w="1020" w:type="dxa"/>
            <w:vAlign w:val="bottom"/>
            <w:shd w:val="clear" w:color="auto" w:fill="C43776"/>
          </w:tcPr>
          <w:p>
            <w:pPr>
              <w:jc w:val="right"/>
              <w:ind w:right="93"/>
              <w:spacing w:after="0"/>
              <w:rPr>
                <w:sz w:val="20"/>
                <w:szCs w:val="20"/>
                <w:color w:val="auto"/>
              </w:rPr>
            </w:pPr>
            <w:r>
              <w:rPr>
                <w:rFonts w:ascii="Arial" w:cs="Arial" w:eastAsia="Arial" w:hAnsi="Arial"/>
                <w:sz w:val="13"/>
                <w:szCs w:val="13"/>
                <w:b w:val="1"/>
                <w:bCs w:val="1"/>
                <w:color w:val="FFFFFF"/>
              </w:rPr>
              <w:t>(100%)</w:t>
            </w:r>
          </w:p>
        </w:tc>
        <w:tc>
          <w:tcPr>
            <w:tcW w:w="8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(125%)</w:t>
            </w:r>
          </w:p>
        </w:tc>
        <w:tc>
          <w:tcPr>
            <w:tcW w:w="120" w:type="dxa"/>
            <w:vAlign w:val="bottom"/>
            <w:shd w:val="clear" w:color="auto" w:fill="C43776"/>
          </w:tcPr>
          <w:p>
            <w:pPr>
              <w:spacing w:after="0"/>
              <w:rPr>
                <w:sz w:val="14"/>
                <w:szCs w:val="14"/>
                <w:color w:val="auto"/>
              </w:rPr>
            </w:pPr>
          </w:p>
        </w:tc>
        <w:tc>
          <w:tcPr>
            <w:tcW w:w="1720" w:type="dxa"/>
            <w:vAlign w:val="bottom"/>
            <w:shd w:val="clear" w:color="auto" w:fill="C43776"/>
          </w:tcPr>
          <w:p>
            <w:pPr>
              <w:jc w:val="right"/>
              <w:ind w:right="351"/>
              <w:spacing w:after="0"/>
              <w:rPr>
                <w:sz w:val="20"/>
                <w:szCs w:val="20"/>
                <w:color w:val="auto"/>
              </w:rPr>
            </w:pPr>
            <w:r>
              <w:rPr>
                <w:rFonts w:ascii="Arial" w:cs="Arial" w:eastAsia="Arial" w:hAnsi="Arial"/>
                <w:sz w:val="13"/>
                <w:szCs w:val="13"/>
                <w:b w:val="1"/>
                <w:bCs w:val="1"/>
                <w:color w:val="FFFFFF"/>
              </w:rPr>
              <w:t>Achievement</w:t>
            </w:r>
          </w:p>
        </w:tc>
        <w:tc>
          <w:tcPr>
            <w:tcW w:w="1060" w:type="dxa"/>
            <w:vAlign w:val="bottom"/>
            <w:shd w:val="clear" w:color="auto" w:fill="C43776"/>
          </w:tcPr>
          <w:p>
            <w:pPr>
              <w:jc w:val="right"/>
              <w:ind w:right="7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4"/>
        </w:trPr>
        <w:tc>
          <w:tcPr>
            <w:tcW w:w="100" w:type="dxa"/>
            <w:vAlign w:val="bottom"/>
            <w:shd w:val="clear" w:color="auto" w:fill="C43776"/>
          </w:tcPr>
          <w:p>
            <w:pPr>
              <w:spacing w:after="0"/>
              <w:rPr>
                <w:sz w:val="8"/>
                <w:szCs w:val="8"/>
                <w:color w:val="auto"/>
              </w:rPr>
            </w:pPr>
          </w:p>
        </w:tc>
        <w:tc>
          <w:tcPr>
            <w:tcW w:w="108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c>
          <w:tcPr>
            <w:tcW w:w="1440" w:type="dxa"/>
            <w:vAlign w:val="bottom"/>
            <w:shd w:val="clear" w:color="auto" w:fill="C43776"/>
          </w:tcPr>
          <w:p>
            <w:pPr>
              <w:spacing w:after="0"/>
              <w:rPr>
                <w:sz w:val="8"/>
                <w:szCs w:val="8"/>
                <w:color w:val="auto"/>
              </w:rPr>
            </w:pPr>
          </w:p>
        </w:tc>
        <w:tc>
          <w:tcPr>
            <w:tcW w:w="980" w:type="dxa"/>
            <w:vAlign w:val="bottom"/>
            <w:shd w:val="clear" w:color="auto" w:fill="C43776"/>
          </w:tcPr>
          <w:p>
            <w:pPr>
              <w:spacing w:after="0"/>
              <w:rPr>
                <w:sz w:val="8"/>
                <w:szCs w:val="8"/>
                <w:color w:val="auto"/>
              </w:rPr>
            </w:pPr>
          </w:p>
        </w:tc>
        <w:tc>
          <w:tcPr>
            <w:tcW w:w="102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120" w:type="dxa"/>
            <w:vAlign w:val="bottom"/>
            <w:shd w:val="clear" w:color="auto" w:fill="C43776"/>
          </w:tcPr>
          <w:p>
            <w:pPr>
              <w:spacing w:after="0"/>
              <w:rPr>
                <w:sz w:val="8"/>
                <w:szCs w:val="8"/>
                <w:color w:val="auto"/>
              </w:rPr>
            </w:pPr>
          </w:p>
        </w:tc>
        <w:tc>
          <w:tcPr>
            <w:tcW w:w="1720" w:type="dxa"/>
            <w:vAlign w:val="bottom"/>
            <w:shd w:val="clear" w:color="auto" w:fill="C43776"/>
          </w:tcPr>
          <w:p>
            <w:pPr>
              <w:spacing w:after="0"/>
              <w:rPr>
                <w:sz w:val="8"/>
                <w:szCs w:val="8"/>
                <w:color w:val="auto"/>
              </w:rPr>
            </w:pPr>
          </w:p>
        </w:tc>
        <w:tc>
          <w:tcPr>
            <w:tcW w:w="106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color w:val="auto"/>
              </w:rPr>
              <w:t>Quarterly</w:t>
            </w:r>
          </w:p>
        </w:tc>
        <w:tc>
          <w:tcPr>
            <w:tcW w:w="72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Arial" w:cs="Arial" w:eastAsia="Arial" w:hAnsi="Arial"/>
                <w:sz w:val="14"/>
                <w:szCs w:val="14"/>
                <w:color w:val="auto"/>
              </w:rPr>
              <w:t>At or below plan</w:t>
            </w:r>
          </w:p>
        </w:tc>
        <w:tc>
          <w:tcPr>
            <w:tcW w:w="980" w:type="dxa"/>
            <w:vAlign w:val="bottom"/>
          </w:tcPr>
          <w:p>
            <w:pPr>
              <w:spacing w:after="0"/>
              <w:rPr>
                <w:sz w:val="19"/>
                <w:szCs w:val="19"/>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4"/>
                <w:szCs w:val="14"/>
                <w:color w:val="auto"/>
              </w:rPr>
              <w:t>At or below</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440" w:type="dxa"/>
            <w:vAlign w:val="bottom"/>
            <w:vMerge w:val="restart"/>
          </w:tcPr>
          <w:p>
            <w:pPr>
              <w:jc w:val="right"/>
              <w:ind w:right="170"/>
              <w:spacing w:after="0"/>
              <w:rPr>
                <w:sz w:val="20"/>
                <w:szCs w:val="20"/>
                <w:color w:val="auto"/>
              </w:rPr>
            </w:pPr>
            <w:r>
              <w:rPr>
                <w:rFonts w:ascii="Arial" w:cs="Arial" w:eastAsia="Arial" w:hAnsi="Arial"/>
                <w:sz w:val="14"/>
                <w:szCs w:val="14"/>
                <w:color w:val="auto"/>
              </w:rPr>
              <w:t>in each respective</w:t>
            </w:r>
          </w:p>
        </w:tc>
        <w:tc>
          <w:tcPr>
            <w:tcW w:w="9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020" w:type="dxa"/>
            <w:vAlign w:val="bottom"/>
            <w:vMerge w:val="continue"/>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5"/>
                <w:szCs w:val="5"/>
                <w:color w:val="auto"/>
              </w:rPr>
            </w:pPr>
          </w:p>
        </w:tc>
        <w:tc>
          <w:tcPr>
            <w:tcW w:w="1720" w:type="dxa"/>
            <w:vAlign w:val="bottom"/>
            <w:vMerge w:val="restart"/>
          </w:tcPr>
          <w:p>
            <w:pPr>
              <w:jc w:val="right"/>
              <w:ind w:right="351"/>
              <w:spacing w:after="0"/>
              <w:rPr>
                <w:sz w:val="20"/>
                <w:szCs w:val="20"/>
                <w:color w:val="auto"/>
              </w:rPr>
            </w:pPr>
            <w:r>
              <w:rPr>
                <w:rFonts w:ascii="Arial" w:cs="Arial" w:eastAsia="Arial" w:hAnsi="Arial"/>
                <w:sz w:val="14"/>
                <w:szCs w:val="14"/>
                <w:color w:val="auto"/>
              </w:rPr>
              <w:t>Achieved 4</w:t>
            </w: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080" w:type="dxa"/>
            <w:vAlign w:val="bottom"/>
          </w:tcPr>
          <w:p>
            <w:pPr>
              <w:ind w:left="40"/>
              <w:spacing w:after="0" w:line="160"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(1)</w:t>
            </w:r>
          </w:p>
        </w:tc>
        <w:tc>
          <w:tcPr>
            <w:tcW w:w="7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20" w:type="dxa"/>
            <w:vAlign w:val="bottom"/>
          </w:tcPr>
          <w:p>
            <w:pPr>
              <w:jc w:val="right"/>
              <w:ind w:right="93"/>
              <w:spacing w:after="0"/>
              <w:rPr>
                <w:sz w:val="20"/>
                <w:szCs w:val="20"/>
                <w:color w:val="auto"/>
              </w:rPr>
            </w:pPr>
            <w:r>
              <w:rPr>
                <w:rFonts w:ascii="Arial" w:cs="Arial" w:eastAsia="Arial" w:hAnsi="Arial"/>
                <w:sz w:val="14"/>
                <w:szCs w:val="14"/>
                <w:color w:val="auto"/>
              </w:rPr>
              <w:t>plan</w:t>
            </w: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tcPr>
          <w:p>
            <w:pPr>
              <w:jc w:val="right"/>
              <w:ind w:right="170"/>
              <w:spacing w:after="0" w:line="135" w:lineRule="exact"/>
              <w:rPr>
                <w:sz w:val="20"/>
                <w:szCs w:val="20"/>
                <w:color w:val="auto"/>
              </w:rPr>
            </w:pPr>
            <w:r>
              <w:rPr>
                <w:rFonts w:ascii="Arial" w:cs="Arial" w:eastAsia="Arial" w:hAnsi="Arial"/>
                <w:sz w:val="14"/>
                <w:szCs w:val="14"/>
                <w:color w:val="auto"/>
              </w:rPr>
              <w:t>quarter</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100" w:type="dxa"/>
            <w:vAlign w:val="bottom"/>
            <w:shd w:val="clear" w:color="auto" w:fill="F1F2F2"/>
          </w:tcPr>
          <w:p>
            <w:pPr>
              <w:spacing w:after="0"/>
              <w:rPr>
                <w:sz w:val="24"/>
                <w:szCs w:val="24"/>
                <w:color w:val="auto"/>
              </w:rPr>
            </w:pPr>
          </w:p>
        </w:tc>
        <w:tc>
          <w:tcPr>
            <w:tcW w:w="1080" w:type="dxa"/>
            <w:vAlign w:val="bottom"/>
            <w:shd w:val="clear" w:color="auto" w:fill="F1F2F2"/>
          </w:tcPr>
          <w:p>
            <w:pPr>
              <w:ind w:left="40"/>
              <w:spacing w:after="0"/>
              <w:rPr>
                <w:sz w:val="20"/>
                <w:szCs w:val="20"/>
                <w:color w:val="auto"/>
              </w:rPr>
            </w:pPr>
            <w:r>
              <w:rPr>
                <w:rFonts w:ascii="Arial" w:cs="Arial" w:eastAsia="Arial" w:hAnsi="Arial"/>
                <w:sz w:val="14"/>
                <w:szCs w:val="14"/>
                <w:color w:val="auto"/>
              </w:rPr>
              <w:t>Key Projects</w:t>
            </w:r>
            <w:r>
              <w:rPr>
                <w:rFonts w:ascii="Arial" w:cs="Arial" w:eastAsia="Arial" w:hAnsi="Arial"/>
                <w:sz w:val="18"/>
                <w:szCs w:val="18"/>
                <w:color w:val="auto"/>
                <w:vertAlign w:val="superscript"/>
              </w:rPr>
              <w:t>(2)</w:t>
            </w:r>
          </w:p>
        </w:tc>
        <w:tc>
          <w:tcPr>
            <w:tcW w:w="7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75</w:t>
            </w:r>
          </w:p>
        </w:tc>
        <w:tc>
          <w:tcPr>
            <w:tcW w:w="1440" w:type="dxa"/>
            <w:vAlign w:val="bottom"/>
            <w:shd w:val="clear" w:color="auto" w:fill="F1F2F2"/>
          </w:tcPr>
          <w:p>
            <w:pPr>
              <w:jc w:val="right"/>
              <w:ind w:right="170"/>
              <w:spacing w:after="0"/>
              <w:rPr>
                <w:sz w:val="20"/>
                <w:szCs w:val="20"/>
                <w:color w:val="auto"/>
              </w:rPr>
            </w:pPr>
            <w:r>
              <w:rPr>
                <w:rFonts w:ascii="Arial" w:cs="Arial" w:eastAsia="Arial" w:hAnsi="Arial"/>
                <w:sz w:val="14"/>
                <w:szCs w:val="14"/>
                <w:color w:val="auto"/>
              </w:rPr>
              <w:t>Achieve 2</w:t>
            </w:r>
          </w:p>
        </w:tc>
        <w:tc>
          <w:tcPr>
            <w:tcW w:w="980" w:type="dxa"/>
            <w:vAlign w:val="bottom"/>
            <w:shd w:val="clear" w:color="auto" w:fill="F1F2F2"/>
          </w:tcPr>
          <w:p>
            <w:pPr>
              <w:jc w:val="right"/>
              <w:ind w:right="72"/>
              <w:spacing w:after="0"/>
              <w:rPr>
                <w:sz w:val="20"/>
                <w:szCs w:val="20"/>
                <w:color w:val="auto"/>
              </w:rPr>
            </w:pPr>
            <w:r>
              <w:rPr>
                <w:rFonts w:ascii="Arial" w:cs="Arial" w:eastAsia="Arial" w:hAnsi="Arial"/>
                <w:sz w:val="14"/>
                <w:szCs w:val="14"/>
                <w:color w:val="auto"/>
              </w:rPr>
              <w:t>Achieve 1</w:t>
            </w:r>
          </w:p>
        </w:tc>
        <w:tc>
          <w:tcPr>
            <w:tcW w:w="1020" w:type="dxa"/>
            <w:vAlign w:val="bottom"/>
            <w:shd w:val="clear" w:color="auto" w:fill="F1F2F2"/>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Achieve 2</w:t>
            </w:r>
          </w:p>
        </w:tc>
        <w:tc>
          <w:tcPr>
            <w:tcW w:w="120" w:type="dxa"/>
            <w:vAlign w:val="bottom"/>
            <w:shd w:val="clear" w:color="auto" w:fill="F1F2F2"/>
          </w:tcPr>
          <w:p>
            <w:pPr>
              <w:spacing w:after="0"/>
              <w:rPr>
                <w:sz w:val="24"/>
                <w:szCs w:val="24"/>
                <w:color w:val="auto"/>
              </w:rPr>
            </w:pPr>
          </w:p>
        </w:tc>
        <w:tc>
          <w:tcPr>
            <w:tcW w:w="1720" w:type="dxa"/>
            <w:vAlign w:val="bottom"/>
            <w:shd w:val="clear" w:color="auto" w:fill="F1F2F2"/>
          </w:tcPr>
          <w:p>
            <w:pPr>
              <w:jc w:val="right"/>
              <w:ind w:right="351"/>
              <w:spacing w:after="0"/>
              <w:rPr>
                <w:sz w:val="20"/>
                <w:szCs w:val="20"/>
                <w:color w:val="auto"/>
              </w:rPr>
            </w:pPr>
            <w:r>
              <w:rPr>
                <w:rFonts w:ascii="Arial" w:cs="Arial" w:eastAsia="Arial" w:hAnsi="Arial"/>
                <w:sz w:val="14"/>
                <w:szCs w:val="14"/>
                <w:color w:val="auto"/>
              </w:rPr>
              <w:t>Achieved 2</w:t>
            </w:r>
          </w:p>
        </w:tc>
        <w:tc>
          <w:tcPr>
            <w:tcW w:w="1060" w:type="dxa"/>
            <w:vAlign w:val="bottom"/>
            <w:shd w:val="clear" w:color="auto" w:fill="F1F2F2"/>
          </w:tcPr>
          <w:p>
            <w:pPr>
              <w:jc w:val="right"/>
              <w:ind w:right="91"/>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21"/>
        </w:trPr>
        <w:tc>
          <w:tcPr>
            <w:tcW w:w="100" w:type="dxa"/>
            <w:vAlign w:val="bottom"/>
            <w:tcBorders>
              <w:bottom w:val="single" w:sz="8" w:color="F1F2F2"/>
            </w:tcBorders>
            <w:shd w:val="clear" w:color="auto" w:fill="F1F2F2"/>
          </w:tcPr>
          <w:p>
            <w:pPr>
              <w:spacing w:after="0"/>
              <w:rPr>
                <w:sz w:val="18"/>
                <w:szCs w:val="18"/>
                <w:color w:val="auto"/>
              </w:rPr>
            </w:pPr>
          </w:p>
        </w:tc>
        <w:tc>
          <w:tcPr>
            <w:tcW w:w="1080" w:type="dxa"/>
            <w:vAlign w:val="bottom"/>
            <w:tcBorders>
              <w:bottom w:val="single" w:sz="8" w:color="F1F2F2"/>
            </w:tcBorders>
            <w:shd w:val="clear" w:color="auto" w:fill="F1F2F2"/>
          </w:tcPr>
          <w:p>
            <w:pPr>
              <w:spacing w:after="0"/>
              <w:rPr>
                <w:sz w:val="18"/>
                <w:szCs w:val="18"/>
                <w:color w:val="auto"/>
              </w:rPr>
            </w:pPr>
          </w:p>
        </w:tc>
        <w:tc>
          <w:tcPr>
            <w:tcW w:w="720" w:type="dxa"/>
            <w:vAlign w:val="bottom"/>
            <w:tcBorders>
              <w:bottom w:val="single" w:sz="8" w:color="F1F2F2"/>
            </w:tcBorders>
            <w:shd w:val="clear" w:color="auto" w:fill="F1F2F2"/>
          </w:tcPr>
          <w:p>
            <w:pPr>
              <w:spacing w:after="0"/>
              <w:rPr>
                <w:sz w:val="18"/>
                <w:szCs w:val="18"/>
                <w:color w:val="auto"/>
              </w:rPr>
            </w:pPr>
          </w:p>
        </w:tc>
        <w:tc>
          <w:tcPr>
            <w:tcW w:w="1440" w:type="dxa"/>
            <w:vAlign w:val="bottom"/>
            <w:tcBorders>
              <w:bottom w:val="single" w:sz="8" w:color="F1F2F2"/>
            </w:tcBorders>
            <w:shd w:val="clear" w:color="auto" w:fill="F1F2F2"/>
          </w:tcPr>
          <w:p>
            <w:pPr>
              <w:jc w:val="right"/>
              <w:ind w:right="170"/>
              <w:spacing w:after="0"/>
              <w:rPr>
                <w:sz w:val="20"/>
                <w:szCs w:val="20"/>
                <w:color w:val="auto"/>
              </w:rPr>
            </w:pPr>
            <w:r>
              <w:rPr>
                <w:rFonts w:ascii="Arial" w:cs="Arial" w:eastAsia="Arial" w:hAnsi="Arial"/>
                <w:sz w:val="14"/>
                <w:szCs w:val="14"/>
                <w:color w:val="auto"/>
              </w:rPr>
              <w:t>goals</w:t>
            </w:r>
          </w:p>
        </w:tc>
        <w:tc>
          <w:tcPr>
            <w:tcW w:w="980" w:type="dxa"/>
            <w:vAlign w:val="bottom"/>
            <w:tcBorders>
              <w:bottom w:val="single" w:sz="8" w:color="F1F2F2"/>
            </w:tcBorders>
            <w:shd w:val="clear" w:color="auto" w:fill="F1F2F2"/>
          </w:tcPr>
          <w:p>
            <w:pPr>
              <w:jc w:val="right"/>
              <w:ind w:right="72"/>
              <w:spacing w:after="0"/>
              <w:rPr>
                <w:sz w:val="20"/>
                <w:szCs w:val="20"/>
                <w:color w:val="auto"/>
              </w:rPr>
            </w:pPr>
            <w:r>
              <w:rPr>
                <w:rFonts w:ascii="Arial" w:cs="Arial" w:eastAsia="Arial" w:hAnsi="Arial"/>
                <w:sz w:val="14"/>
                <w:szCs w:val="14"/>
                <w:color w:val="auto"/>
              </w:rPr>
              <w:t>goal</w:t>
            </w:r>
          </w:p>
        </w:tc>
        <w:tc>
          <w:tcPr>
            <w:tcW w:w="1020" w:type="dxa"/>
            <w:vAlign w:val="bottom"/>
            <w:tcBorders>
              <w:bottom w:val="single" w:sz="8" w:color="F1F2F2"/>
            </w:tcBorders>
            <w:shd w:val="clear" w:color="auto" w:fill="F1F2F2"/>
          </w:tcPr>
          <w:p>
            <w:pPr>
              <w:spacing w:after="0"/>
              <w:rPr>
                <w:sz w:val="18"/>
                <w:szCs w:val="18"/>
                <w:color w:val="auto"/>
              </w:rPr>
            </w:pPr>
          </w:p>
        </w:tc>
        <w:tc>
          <w:tcPr>
            <w:tcW w:w="8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goals</w:t>
            </w:r>
          </w:p>
        </w:tc>
        <w:tc>
          <w:tcPr>
            <w:tcW w:w="120" w:type="dxa"/>
            <w:vAlign w:val="bottom"/>
            <w:tcBorders>
              <w:bottom w:val="single" w:sz="8" w:color="F1F2F2"/>
            </w:tcBorders>
            <w:shd w:val="clear" w:color="auto" w:fill="F1F2F2"/>
          </w:tcPr>
          <w:p>
            <w:pPr>
              <w:spacing w:after="0"/>
              <w:rPr>
                <w:sz w:val="18"/>
                <w:szCs w:val="18"/>
                <w:color w:val="auto"/>
              </w:rPr>
            </w:pPr>
          </w:p>
        </w:tc>
        <w:tc>
          <w:tcPr>
            <w:tcW w:w="1720" w:type="dxa"/>
            <w:vAlign w:val="bottom"/>
            <w:tcBorders>
              <w:bottom w:val="single" w:sz="8" w:color="F1F2F2"/>
            </w:tcBorders>
            <w:shd w:val="clear" w:color="auto" w:fill="F1F2F2"/>
          </w:tcPr>
          <w:p>
            <w:pPr>
              <w:spacing w:after="0"/>
              <w:rPr>
                <w:sz w:val="18"/>
                <w:szCs w:val="18"/>
                <w:color w:val="auto"/>
              </w:rPr>
            </w:pPr>
          </w:p>
        </w:tc>
        <w:tc>
          <w:tcPr>
            <w:tcW w:w="106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0" w:type="dxa"/>
            <w:vAlign w:val="bottom"/>
            <w:tcBorders>
              <w:top w:val="single" w:sz="8" w:color="C43776"/>
            </w:tcBorders>
          </w:tcPr>
          <w:p>
            <w:pPr>
              <w:spacing w:after="0"/>
              <w:rPr>
                <w:sz w:val="24"/>
                <w:szCs w:val="24"/>
                <w:color w:val="auto"/>
              </w:rPr>
            </w:pPr>
          </w:p>
        </w:tc>
        <w:tc>
          <w:tcPr>
            <w:tcW w:w="1080" w:type="dxa"/>
            <w:vAlign w:val="bottom"/>
            <w:tcBorders>
              <w:top w:val="single" w:sz="8" w:color="C43776"/>
            </w:tcBorders>
          </w:tcPr>
          <w:p>
            <w:pPr>
              <w:spacing w:after="0"/>
              <w:rPr>
                <w:sz w:val="24"/>
                <w:szCs w:val="24"/>
                <w:color w:val="auto"/>
              </w:rPr>
            </w:pPr>
          </w:p>
        </w:tc>
        <w:tc>
          <w:tcPr>
            <w:tcW w:w="720" w:type="dxa"/>
            <w:vAlign w:val="bottom"/>
            <w:tcBorders>
              <w:top w:val="single" w:sz="8" w:color="C43776"/>
            </w:tcBorders>
          </w:tcPr>
          <w:p>
            <w:pPr>
              <w:spacing w:after="0"/>
              <w:rPr>
                <w:sz w:val="24"/>
                <w:szCs w:val="24"/>
                <w:color w:val="auto"/>
              </w:rPr>
            </w:pPr>
          </w:p>
        </w:tc>
        <w:tc>
          <w:tcPr>
            <w:tcW w:w="1440" w:type="dxa"/>
            <w:vAlign w:val="bottom"/>
            <w:tcBorders>
              <w:top w:val="single" w:sz="8" w:color="C43776"/>
            </w:tcBorders>
          </w:tcPr>
          <w:p>
            <w:pPr>
              <w:spacing w:after="0"/>
              <w:rPr>
                <w:sz w:val="24"/>
                <w:szCs w:val="24"/>
                <w:color w:val="auto"/>
              </w:rPr>
            </w:pPr>
          </w:p>
        </w:tc>
        <w:tc>
          <w:tcPr>
            <w:tcW w:w="980" w:type="dxa"/>
            <w:vAlign w:val="bottom"/>
            <w:tcBorders>
              <w:top w:val="single" w:sz="8" w:color="C43776"/>
            </w:tcBorders>
          </w:tcPr>
          <w:p>
            <w:pPr>
              <w:spacing w:after="0"/>
              <w:rPr>
                <w:sz w:val="24"/>
                <w:szCs w:val="24"/>
                <w:color w:val="auto"/>
              </w:rPr>
            </w:pPr>
          </w:p>
        </w:tc>
        <w:tc>
          <w:tcPr>
            <w:tcW w:w="1020" w:type="dxa"/>
            <w:vAlign w:val="bottom"/>
            <w:tcBorders>
              <w:top w:val="single" w:sz="8" w:color="C43776"/>
            </w:tcBorders>
          </w:tcPr>
          <w:p>
            <w:pPr>
              <w:spacing w:after="0"/>
              <w:rPr>
                <w:sz w:val="24"/>
                <w:szCs w:val="24"/>
                <w:color w:val="auto"/>
              </w:rPr>
            </w:pPr>
          </w:p>
        </w:tc>
        <w:tc>
          <w:tcPr>
            <w:tcW w:w="840" w:type="dxa"/>
            <w:vAlign w:val="bottom"/>
            <w:tcBorders>
              <w:top w:val="single" w:sz="8" w:color="C43776"/>
            </w:tcBorders>
          </w:tcPr>
          <w:p>
            <w:pPr>
              <w:spacing w:after="0"/>
              <w:rPr>
                <w:sz w:val="24"/>
                <w:szCs w:val="24"/>
                <w:color w:val="auto"/>
              </w:rPr>
            </w:pPr>
          </w:p>
        </w:tc>
        <w:tc>
          <w:tcPr>
            <w:tcW w:w="1840" w:type="dxa"/>
            <w:vAlign w:val="bottom"/>
            <w:tcBorders>
              <w:top w:val="single" w:sz="8" w:color="C43776"/>
            </w:tcBorders>
            <w:gridSpan w:val="2"/>
          </w:tcPr>
          <w:p>
            <w:pPr>
              <w:jc w:val="right"/>
              <w:ind w:right="11"/>
              <w:spacing w:after="0"/>
              <w:rPr>
                <w:sz w:val="20"/>
                <w:szCs w:val="20"/>
                <w:color w:val="auto"/>
              </w:rPr>
            </w:pPr>
            <w:r>
              <w:rPr>
                <w:rFonts w:ascii="Arial" w:cs="Arial" w:eastAsia="Arial" w:hAnsi="Arial"/>
                <w:sz w:val="14"/>
                <w:szCs w:val="14"/>
                <w:b w:val="1"/>
                <w:bCs w:val="1"/>
                <w:color w:val="auto"/>
              </w:rPr>
              <w:t>Target Number of Shares</w:t>
            </w:r>
          </w:p>
        </w:tc>
        <w:tc>
          <w:tcPr>
            <w:tcW w:w="1060" w:type="dxa"/>
            <w:vAlign w:val="bottom"/>
            <w:tcBorders>
              <w:top w:val="single" w:sz="8" w:color="C43776"/>
            </w:tcBorders>
          </w:tcPr>
          <w:p>
            <w:pPr>
              <w:jc w:val="right"/>
              <w:ind w:right="71"/>
              <w:spacing w:after="0"/>
              <w:rPr>
                <w:sz w:val="20"/>
                <w:szCs w:val="20"/>
                <w:color w:val="auto"/>
              </w:rPr>
            </w:pPr>
            <w:r>
              <w:rPr>
                <w:rFonts w:ascii="Arial" w:cs="Arial" w:eastAsia="Arial" w:hAnsi="Arial"/>
                <w:sz w:val="14"/>
                <w:szCs w:val="14"/>
                <w:b w:val="1"/>
                <w:bCs w:val="1"/>
                <w:color w:val="auto"/>
              </w:rPr>
              <w:t>293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Formulaic Earned Payout %</w:t>
            </w:r>
          </w:p>
        </w:tc>
        <w:tc>
          <w:tcPr>
            <w:tcW w:w="1060" w:type="dxa"/>
            <w:vAlign w:val="bottom"/>
          </w:tcPr>
          <w:p>
            <w:pPr>
              <w:jc w:val="right"/>
              <w:ind w:right="31"/>
              <w:spacing w:after="0"/>
              <w:rPr>
                <w:sz w:val="20"/>
                <w:szCs w:val="20"/>
                <w:color w:val="auto"/>
              </w:rPr>
            </w:pPr>
            <w:r>
              <w:rPr>
                <w:rFonts w:ascii="Arial" w:cs="Arial" w:eastAsia="Arial" w:hAnsi="Arial"/>
                <w:sz w:val="14"/>
                <w:szCs w:val="14"/>
                <w:b w:val="1"/>
                <w:bCs w:val="1"/>
                <w:color w:val="auto"/>
              </w:rPr>
              <w:t>118.75 %</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Earned Number of Shares</w:t>
            </w:r>
          </w:p>
        </w:tc>
        <w:tc>
          <w:tcPr>
            <w:tcW w:w="1060" w:type="dxa"/>
            <w:vAlign w:val="bottom"/>
          </w:tcPr>
          <w:p>
            <w:pPr>
              <w:jc w:val="right"/>
              <w:ind w:right="71"/>
              <w:spacing w:after="0"/>
              <w:rPr>
                <w:sz w:val="20"/>
                <w:szCs w:val="20"/>
                <w:color w:val="auto"/>
              </w:rPr>
            </w:pPr>
            <w:r>
              <w:rPr>
                <w:rFonts w:ascii="Arial" w:cs="Arial" w:eastAsia="Arial" w:hAnsi="Arial"/>
                <w:sz w:val="14"/>
                <w:szCs w:val="14"/>
                <w:b w:val="1"/>
                <w:bCs w:val="1"/>
                <w:color w:val="auto"/>
              </w:rPr>
              <w:t>348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right="440" w:hanging="332"/>
        <w:spacing w:after="0" w:line="261" w:lineRule="auto"/>
        <w:tabs>
          <w:tab w:leader="none" w:pos="34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Adjusted (a) to be consistent with the macro-economic environment assumed in the 2025 budget, (b) for addbacks and (c) for the pro-forma impact of acquisitions and/or divestitures.</w:t>
      </w:r>
    </w:p>
    <w:p>
      <w:pPr>
        <w:spacing w:after="0" w:line="25" w:lineRule="exact"/>
        <w:rPr>
          <w:rFonts w:ascii="Arial" w:cs="Arial" w:eastAsia="Arial" w:hAnsi="Arial"/>
          <w:sz w:val="13"/>
          <w:szCs w:val="13"/>
          <w:i w:val="1"/>
          <w:iCs w:val="1"/>
          <w:color w:val="auto"/>
        </w:rPr>
      </w:pPr>
    </w:p>
    <w:p>
      <w:pPr>
        <w:ind w:left="340" w:hanging="332"/>
        <w:spacing w:after="0"/>
        <w:tabs>
          <w:tab w:leader="none" w:pos="34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(a) Remediate user access material weakness (achieved) and (b) complete initiatives to facilitate the closing of the Mastercard investment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38</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sectPr>
      </w:pPr>
    </w:p>
    <w:bookmarkStart w:id="44" w:name="page45"/>
    <w:bookmarkEnd w:id="44"/>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C43776"/>
        </w:rPr>
        <w:t>Armando L. Netto: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Annual Equity Incentive</w:t>
      </w:r>
    </w:p>
    <w:p>
      <w:pPr>
        <w:spacing w:after="0" w:line="5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highlight w:val="white"/>
        </w:rPr>
        <w:t xml:space="preserve">Our Adjusted EPS-COMP for 2025 was </w:t>
      </w:r>
      <w:r>
        <w:rPr>
          <w:rFonts w:ascii="Arial" w:cs="Arial" w:eastAsia="Arial" w:hAnsi="Arial"/>
          <w:sz w:val="16"/>
          <w:szCs w:val="16"/>
          <w:color w:val="auto"/>
        </w:rPr>
        <w:t>$21.06 against a target of $21.07. The compensation committee therefore determined</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that the payout percentage was 98.8% based on the </w:t>
      </w:r>
      <w:r>
        <w:rPr>
          <w:rFonts w:ascii="Arial" w:cs="Arial" w:eastAsia="Arial" w:hAnsi="Arial"/>
          <w:sz w:val="16"/>
          <w:szCs w:val="16"/>
          <w:color w:val="auto"/>
          <w:highlight w:val="white"/>
        </w:rPr>
        <w:t>linear performance payout scale outlined earlier.</w:t>
      </w:r>
      <w:r>
        <w:rPr>
          <w:rFonts w:ascii="Arial" w:cs="Arial" w:eastAsia="Arial" w:hAnsi="Arial"/>
          <w:sz w:val="16"/>
          <w:szCs w:val="16"/>
          <w:color w:val="auto"/>
        </w:rPr>
        <w:t xml:space="preserve"> Mr. Netto’s Company</w:t>
      </w:r>
    </w:p>
    <w:p>
      <w:pPr>
        <w:sectPr>
          <w:pgSz w:w="11900" w:h="16838" w:orient="portrait"/>
          <w:cols w:equalWidth="0" w:num="1">
            <w:col w:w="9080"/>
          </w:cols>
          <w:pgMar w:left="1400" w:top="729" w:right="1419" w:bottom="1440" w:gutter="0" w:footer="0" w:header="0"/>
        </w:sectPr>
      </w:pPr>
    </w:p>
    <w:p>
      <w:pPr>
        <w:spacing w:after="0"/>
        <w:rPr>
          <w:sz w:val="20"/>
          <w:szCs w:val="20"/>
          <w:color w:val="auto"/>
        </w:rPr>
      </w:pPr>
      <w:r>
        <w:rPr>
          <w:rFonts w:ascii="Arial" w:cs="Arial" w:eastAsia="Arial" w:hAnsi="Arial"/>
          <w:sz w:val="16"/>
          <w:szCs w:val="16"/>
          <w:color w:val="auto"/>
        </w:rPr>
        <w:t>Annual Equity Incentive was earned at 1,049 shares.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Bonus Equity Incentive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Mr. Netto’s 2025 Annual Bonus Equity Incentive Goals and Results are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560" w:type="dxa"/>
            <w:vAlign w:val="bottom"/>
            <w:shd w:val="clear" w:color="auto" w:fill="C43776"/>
          </w:tcPr>
          <w:p>
            <w:pPr>
              <w:spacing w:after="0"/>
              <w:rPr>
                <w:sz w:val="19"/>
                <w:szCs w:val="19"/>
                <w:color w:val="auto"/>
              </w:rPr>
            </w:pPr>
          </w:p>
        </w:tc>
        <w:tc>
          <w:tcPr>
            <w:tcW w:w="940" w:type="dxa"/>
            <w:vAlign w:val="bottom"/>
            <w:shd w:val="clear" w:color="auto" w:fill="C43776"/>
          </w:tcPr>
          <w:p>
            <w:pPr>
              <w:spacing w:after="0"/>
              <w:rPr>
                <w:sz w:val="19"/>
                <w:szCs w:val="19"/>
                <w:color w:val="auto"/>
              </w:rPr>
            </w:pPr>
          </w:p>
        </w:tc>
        <w:tc>
          <w:tcPr>
            <w:tcW w:w="840" w:type="dxa"/>
            <w:vAlign w:val="bottom"/>
            <w:shd w:val="clear" w:color="auto" w:fill="C43776"/>
          </w:tcPr>
          <w:p>
            <w:pPr>
              <w:spacing w:after="0"/>
              <w:rPr>
                <w:sz w:val="19"/>
                <w:szCs w:val="19"/>
                <w:color w:val="auto"/>
              </w:rPr>
            </w:pPr>
          </w:p>
        </w:tc>
        <w:tc>
          <w:tcPr>
            <w:tcW w:w="880" w:type="dxa"/>
            <w:vAlign w:val="bottom"/>
            <w:shd w:val="clear" w:color="auto" w:fill="C43776"/>
          </w:tcPr>
          <w:p>
            <w:pPr>
              <w:spacing w:after="0"/>
              <w:rPr>
                <w:sz w:val="19"/>
                <w:szCs w:val="19"/>
                <w:color w:val="auto"/>
              </w:rPr>
            </w:pPr>
          </w:p>
        </w:tc>
        <w:tc>
          <w:tcPr>
            <w:tcW w:w="660" w:type="dxa"/>
            <w:vAlign w:val="bottom"/>
            <w:shd w:val="clear" w:color="auto" w:fill="C43776"/>
          </w:tcPr>
          <w:p>
            <w:pPr>
              <w:spacing w:after="0"/>
              <w:rPr>
                <w:sz w:val="19"/>
                <w:szCs w:val="19"/>
                <w:color w:val="auto"/>
              </w:rPr>
            </w:pPr>
          </w:p>
        </w:tc>
        <w:tc>
          <w:tcPr>
            <w:tcW w:w="980" w:type="dxa"/>
            <w:vAlign w:val="bottom"/>
            <w:shd w:val="clear" w:color="auto" w:fill="C43776"/>
          </w:tcPr>
          <w:p>
            <w:pPr>
              <w:jc w:val="center"/>
              <w:ind w:right="277"/>
              <w:spacing w:after="0"/>
              <w:rPr>
                <w:sz w:val="20"/>
                <w:szCs w:val="20"/>
                <w:color w:val="auto"/>
              </w:rPr>
            </w:pPr>
            <w:r>
              <w:rPr>
                <w:rFonts w:ascii="Arial" w:cs="Arial" w:eastAsia="Arial" w:hAnsi="Arial"/>
                <w:sz w:val="13"/>
                <w:szCs w:val="13"/>
                <w:b w:val="1"/>
                <w:bCs w:val="1"/>
                <w:color w:val="FFFFFF"/>
                <w:w w:val="95"/>
              </w:rPr>
              <w:t>GOALS</w:t>
            </w:r>
          </w:p>
        </w:tc>
        <w:tc>
          <w:tcPr>
            <w:tcW w:w="520" w:type="dxa"/>
            <w:vAlign w:val="bottom"/>
            <w:shd w:val="clear" w:color="auto" w:fill="C43776"/>
          </w:tcPr>
          <w:p>
            <w:pPr>
              <w:spacing w:after="0"/>
              <w:rPr>
                <w:sz w:val="19"/>
                <w:szCs w:val="19"/>
                <w:color w:val="auto"/>
              </w:rPr>
            </w:pPr>
          </w:p>
        </w:tc>
        <w:tc>
          <w:tcPr>
            <w:tcW w:w="720" w:type="dxa"/>
            <w:vAlign w:val="bottom"/>
            <w:shd w:val="clear" w:color="auto" w:fill="C43776"/>
          </w:tcPr>
          <w:p>
            <w:pPr>
              <w:spacing w:after="0"/>
              <w:rPr>
                <w:sz w:val="19"/>
                <w:szCs w:val="19"/>
                <w:color w:val="auto"/>
              </w:rPr>
            </w:pPr>
          </w:p>
        </w:tc>
      </w:tr>
      <w:tr>
        <w:trPr>
          <w:trHeight w:val="172"/>
        </w:trPr>
        <w:tc>
          <w:tcPr>
            <w:tcW w:w="1560" w:type="dxa"/>
            <w:vAlign w:val="bottom"/>
            <w:shd w:val="clear" w:color="auto" w:fill="C43776"/>
          </w:tcPr>
          <w:p>
            <w:pPr>
              <w:spacing w:after="0"/>
              <w:rPr>
                <w:sz w:val="14"/>
                <w:szCs w:val="14"/>
                <w:color w:val="auto"/>
              </w:rPr>
            </w:pPr>
          </w:p>
        </w:tc>
        <w:tc>
          <w:tcPr>
            <w:tcW w:w="940" w:type="dxa"/>
            <w:vAlign w:val="bottom"/>
            <w:shd w:val="clear" w:color="auto" w:fill="C43776"/>
          </w:tcPr>
          <w:p>
            <w:pPr>
              <w:spacing w:after="0"/>
              <w:rPr>
                <w:sz w:val="14"/>
                <w:szCs w:val="14"/>
                <w:color w:val="auto"/>
              </w:rPr>
            </w:pPr>
          </w:p>
        </w:tc>
        <w:tc>
          <w:tcPr>
            <w:tcW w:w="840" w:type="dxa"/>
            <w:vAlign w:val="bottom"/>
            <w:shd w:val="clear" w:color="auto" w:fill="C43776"/>
          </w:tcPr>
          <w:p>
            <w:pPr>
              <w:spacing w:after="0"/>
              <w:rPr>
                <w:sz w:val="14"/>
                <w:szCs w:val="14"/>
                <w:color w:val="auto"/>
              </w:rPr>
            </w:pPr>
          </w:p>
        </w:tc>
        <w:tc>
          <w:tcPr>
            <w:tcW w:w="880" w:type="dxa"/>
            <w:vAlign w:val="bottom"/>
            <w:shd w:val="clear" w:color="auto" w:fill="C43776"/>
          </w:tcPr>
          <w:p>
            <w:pPr>
              <w:spacing w:after="0"/>
              <w:rPr>
                <w:sz w:val="14"/>
                <w:szCs w:val="14"/>
                <w:color w:val="auto"/>
              </w:rPr>
            </w:pPr>
          </w:p>
        </w:tc>
        <w:tc>
          <w:tcPr>
            <w:tcW w:w="1640" w:type="dxa"/>
            <w:vAlign w:val="bottom"/>
            <w:gridSpan w:val="2"/>
            <w:shd w:val="clear" w:color="auto" w:fill="C43776"/>
          </w:tcPr>
          <w:p>
            <w:pPr>
              <w:jc w:val="center"/>
              <w:ind w:left="257"/>
              <w:spacing w:after="0"/>
              <w:rPr>
                <w:sz w:val="20"/>
                <w:szCs w:val="20"/>
                <w:color w:val="auto"/>
              </w:rPr>
            </w:pPr>
            <w:r>
              <w:rPr>
                <w:rFonts w:ascii="Arial" w:cs="Arial" w:eastAsia="Arial" w:hAnsi="Arial"/>
                <w:sz w:val="13"/>
                <w:szCs w:val="13"/>
                <w:b w:val="1"/>
                <w:bCs w:val="1"/>
                <w:color w:val="FFFFFF"/>
                <w:w w:val="96"/>
              </w:rPr>
              <w:t>($ values in millions)</w:t>
            </w:r>
          </w:p>
        </w:tc>
        <w:tc>
          <w:tcPr>
            <w:tcW w:w="52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r>
      <w:tr>
        <w:trPr>
          <w:trHeight w:val="301"/>
        </w:trPr>
        <w:tc>
          <w:tcPr>
            <w:tcW w:w="1560" w:type="dxa"/>
            <w:vAlign w:val="bottom"/>
            <w:shd w:val="clear" w:color="auto" w:fill="C43776"/>
          </w:tcPr>
          <w:p>
            <w:pPr>
              <w:spacing w:after="0"/>
              <w:rPr>
                <w:sz w:val="24"/>
                <w:szCs w:val="24"/>
                <w:color w:val="auto"/>
              </w:rPr>
            </w:pPr>
          </w:p>
        </w:tc>
        <w:tc>
          <w:tcPr>
            <w:tcW w:w="940" w:type="dxa"/>
            <w:vAlign w:val="bottom"/>
            <w:shd w:val="clear" w:color="auto" w:fill="C43776"/>
          </w:tcPr>
          <w:p>
            <w:pPr>
              <w:spacing w:after="0"/>
              <w:rPr>
                <w:sz w:val="24"/>
                <w:szCs w:val="24"/>
                <w:color w:val="auto"/>
              </w:rPr>
            </w:pPr>
          </w:p>
        </w:tc>
        <w:tc>
          <w:tcPr>
            <w:tcW w:w="84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Target</w:t>
            </w:r>
          </w:p>
        </w:tc>
        <w:tc>
          <w:tcPr>
            <w:tcW w:w="880" w:type="dxa"/>
            <w:vAlign w:val="bottom"/>
            <w:shd w:val="clear" w:color="auto" w:fill="C43776"/>
          </w:tcPr>
          <w:p>
            <w:pPr>
              <w:spacing w:after="0"/>
              <w:rPr>
                <w:sz w:val="24"/>
                <w:szCs w:val="24"/>
                <w:color w:val="auto"/>
              </w:rPr>
            </w:pPr>
          </w:p>
        </w:tc>
        <w:tc>
          <w:tcPr>
            <w:tcW w:w="660" w:type="dxa"/>
            <w:vAlign w:val="bottom"/>
            <w:shd w:val="clear" w:color="auto" w:fill="C43776"/>
          </w:tcPr>
          <w:p>
            <w:pPr>
              <w:jc w:val="center"/>
              <w:ind w:left="17"/>
              <w:spacing w:after="0"/>
              <w:rPr>
                <w:sz w:val="20"/>
                <w:szCs w:val="20"/>
                <w:color w:val="auto"/>
              </w:rPr>
            </w:pPr>
            <w:r>
              <w:rPr>
                <w:rFonts w:ascii="Arial" w:cs="Arial" w:eastAsia="Arial" w:hAnsi="Arial"/>
                <w:sz w:val="13"/>
                <w:szCs w:val="13"/>
                <w:b w:val="1"/>
                <w:bCs w:val="1"/>
                <w:color w:val="FFFFFF"/>
                <w:w w:val="99"/>
              </w:rPr>
              <w:t>Below</w:t>
            </w:r>
          </w:p>
        </w:tc>
        <w:tc>
          <w:tcPr>
            <w:tcW w:w="980" w:type="dxa"/>
            <w:vAlign w:val="bottom"/>
            <w:shd w:val="clear" w:color="auto" w:fill="C43776"/>
          </w:tcPr>
          <w:p>
            <w:pPr>
              <w:spacing w:after="0"/>
              <w:rPr>
                <w:sz w:val="24"/>
                <w:szCs w:val="24"/>
                <w:color w:val="auto"/>
              </w:rPr>
            </w:pPr>
          </w:p>
        </w:tc>
        <w:tc>
          <w:tcPr>
            <w:tcW w:w="52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rPr>
              <w:t>Above</w:t>
            </w:r>
          </w:p>
        </w:tc>
        <w:tc>
          <w:tcPr>
            <w:tcW w:w="720" w:type="dxa"/>
            <w:vAlign w:val="bottom"/>
            <w:shd w:val="clear" w:color="auto" w:fill="C43776"/>
          </w:tcPr>
          <w:p>
            <w:pPr>
              <w:spacing w:after="0"/>
              <w:rPr>
                <w:sz w:val="24"/>
                <w:szCs w:val="24"/>
                <w:color w:val="auto"/>
              </w:rPr>
            </w:pPr>
          </w:p>
        </w:tc>
      </w:tr>
      <w:tr>
        <w:trPr>
          <w:trHeight w:val="148"/>
        </w:trPr>
        <w:tc>
          <w:tcPr>
            <w:tcW w:w="1560" w:type="dxa"/>
            <w:vAlign w:val="bottom"/>
            <w:shd w:val="clear" w:color="auto" w:fill="C43776"/>
          </w:tcPr>
          <w:p>
            <w:pPr>
              <w:spacing w:after="0"/>
              <w:rPr>
                <w:sz w:val="12"/>
                <w:szCs w:val="12"/>
                <w:color w:val="auto"/>
              </w:rPr>
            </w:pPr>
          </w:p>
        </w:tc>
        <w:tc>
          <w:tcPr>
            <w:tcW w:w="94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Weighting</w:t>
            </w:r>
          </w:p>
        </w:tc>
        <w:tc>
          <w:tcPr>
            <w:tcW w:w="84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 values</w:t>
            </w:r>
          </w:p>
        </w:tc>
        <w:tc>
          <w:tcPr>
            <w:tcW w:w="88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Threshold</w:t>
            </w:r>
          </w:p>
        </w:tc>
        <w:tc>
          <w:tcPr>
            <w:tcW w:w="660" w:type="dxa"/>
            <w:vAlign w:val="bottom"/>
            <w:shd w:val="clear" w:color="auto" w:fill="C43776"/>
          </w:tcPr>
          <w:p>
            <w:pPr>
              <w:jc w:val="center"/>
              <w:ind w:left="17"/>
              <w:spacing w:after="0"/>
              <w:rPr>
                <w:sz w:val="20"/>
                <w:szCs w:val="20"/>
                <w:color w:val="auto"/>
              </w:rPr>
            </w:pPr>
            <w:r>
              <w:rPr>
                <w:rFonts w:ascii="Arial" w:cs="Arial" w:eastAsia="Arial" w:hAnsi="Arial"/>
                <w:sz w:val="13"/>
                <w:szCs w:val="13"/>
                <w:b w:val="1"/>
                <w:bCs w:val="1"/>
                <w:color w:val="FFFFFF"/>
                <w:w w:val="95"/>
              </w:rPr>
              <w:t>Target</w:t>
            </w:r>
          </w:p>
        </w:tc>
        <w:tc>
          <w:tcPr>
            <w:tcW w:w="98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w w:val="90"/>
              </w:rPr>
              <w:t>Target</w:t>
            </w:r>
          </w:p>
        </w:tc>
        <w:tc>
          <w:tcPr>
            <w:tcW w:w="52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Maximum</w:t>
            </w:r>
          </w:p>
        </w:tc>
      </w:tr>
      <w:tr>
        <w:trPr>
          <w:trHeight w:val="172"/>
        </w:trPr>
        <w:tc>
          <w:tcPr>
            <w:tcW w:w="1560" w:type="dxa"/>
            <w:vAlign w:val="bottom"/>
            <w:shd w:val="clear" w:color="auto" w:fill="C43776"/>
          </w:tcPr>
          <w:p>
            <w:pPr>
              <w:ind w:left="140"/>
              <w:spacing w:after="0"/>
              <w:rPr>
                <w:sz w:val="20"/>
                <w:szCs w:val="20"/>
                <w:color w:val="auto"/>
              </w:rPr>
            </w:pPr>
            <w:r>
              <w:rPr>
                <w:rFonts w:ascii="Arial" w:cs="Arial" w:eastAsia="Arial" w:hAnsi="Arial"/>
                <w:sz w:val="13"/>
                <w:szCs w:val="13"/>
                <w:b w:val="1"/>
                <w:bCs w:val="1"/>
                <w:color w:val="FFFFFF"/>
              </w:rPr>
              <w:t>Performance Metric</w:t>
            </w:r>
          </w:p>
        </w:tc>
        <w:tc>
          <w:tcPr>
            <w:tcW w:w="940" w:type="dxa"/>
            <w:vAlign w:val="bottom"/>
            <w:shd w:val="clear" w:color="auto" w:fill="C43776"/>
          </w:tcPr>
          <w:p>
            <w:pPr>
              <w:jc w:val="right"/>
              <w:ind w:right="37"/>
              <w:spacing w:after="0"/>
              <w:rPr>
                <w:sz w:val="20"/>
                <w:szCs w:val="20"/>
                <w:color w:val="auto"/>
              </w:rPr>
            </w:pPr>
            <w:r>
              <w:rPr>
                <w:rFonts w:ascii="Arial" w:cs="Arial" w:eastAsia="Arial" w:hAnsi="Arial"/>
                <w:sz w:val="13"/>
                <w:szCs w:val="13"/>
                <w:b w:val="1"/>
                <w:bCs w:val="1"/>
                <w:color w:val="FFFFFF"/>
              </w:rPr>
              <w:t>   (%)</w:t>
            </w:r>
          </w:p>
        </w:tc>
        <w:tc>
          <w:tcPr>
            <w:tcW w:w="84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in millions)</w:t>
            </w:r>
          </w:p>
        </w:tc>
        <w:tc>
          <w:tcPr>
            <w:tcW w:w="88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(50%)</w:t>
            </w:r>
          </w:p>
        </w:tc>
        <w:tc>
          <w:tcPr>
            <w:tcW w:w="660" w:type="dxa"/>
            <w:vAlign w:val="bottom"/>
            <w:shd w:val="clear" w:color="auto" w:fill="C43776"/>
          </w:tcPr>
          <w:p>
            <w:pPr>
              <w:jc w:val="center"/>
              <w:ind w:left="57"/>
              <w:spacing w:after="0"/>
              <w:rPr>
                <w:sz w:val="20"/>
                <w:szCs w:val="20"/>
                <w:color w:val="auto"/>
              </w:rPr>
            </w:pPr>
            <w:r>
              <w:rPr>
                <w:rFonts w:ascii="Arial" w:cs="Arial" w:eastAsia="Arial" w:hAnsi="Arial"/>
                <w:sz w:val="13"/>
                <w:szCs w:val="13"/>
                <w:b w:val="1"/>
                <w:bCs w:val="1"/>
                <w:color w:val="FFFFFF"/>
                <w:w w:val="97"/>
              </w:rPr>
              <w:t>(75%)</w:t>
            </w:r>
          </w:p>
        </w:tc>
        <w:tc>
          <w:tcPr>
            <w:tcW w:w="980" w:type="dxa"/>
            <w:vAlign w:val="bottom"/>
            <w:shd w:val="clear" w:color="auto" w:fill="C43776"/>
          </w:tcPr>
          <w:p>
            <w:pPr>
              <w:jc w:val="right"/>
              <w:ind w:right="257"/>
              <w:spacing w:after="0"/>
              <w:rPr>
                <w:sz w:val="20"/>
                <w:szCs w:val="20"/>
                <w:color w:val="auto"/>
              </w:rPr>
            </w:pPr>
            <w:r>
              <w:rPr>
                <w:rFonts w:ascii="Arial" w:cs="Arial" w:eastAsia="Arial" w:hAnsi="Arial"/>
                <w:sz w:val="13"/>
                <w:szCs w:val="13"/>
                <w:b w:val="1"/>
                <w:bCs w:val="1"/>
                <w:color w:val="FFFFFF"/>
              </w:rPr>
              <w:t>(100%)</w:t>
            </w:r>
          </w:p>
        </w:tc>
        <w:tc>
          <w:tcPr>
            <w:tcW w:w="52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rPr>
              <w:t>(125%)</w:t>
            </w: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(150%)</w:t>
            </w:r>
          </w:p>
        </w:tc>
      </w:tr>
      <w:tr>
        <w:trPr>
          <w:trHeight w:val="103"/>
        </w:trPr>
        <w:tc>
          <w:tcPr>
            <w:tcW w:w="1560" w:type="dxa"/>
            <w:vAlign w:val="bottom"/>
            <w:shd w:val="clear" w:color="auto" w:fill="C43776"/>
          </w:tcPr>
          <w:p>
            <w:pPr>
              <w:spacing w:after="0"/>
              <w:rPr>
                <w:sz w:val="8"/>
                <w:szCs w:val="8"/>
                <w:color w:val="auto"/>
              </w:rPr>
            </w:pPr>
          </w:p>
        </w:tc>
        <w:tc>
          <w:tcPr>
            <w:tcW w:w="94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880" w:type="dxa"/>
            <w:vAlign w:val="bottom"/>
            <w:shd w:val="clear" w:color="auto" w:fill="C43776"/>
          </w:tcPr>
          <w:p>
            <w:pPr>
              <w:spacing w:after="0"/>
              <w:rPr>
                <w:sz w:val="8"/>
                <w:szCs w:val="8"/>
                <w:color w:val="auto"/>
              </w:rPr>
            </w:pPr>
          </w:p>
        </w:tc>
        <w:tc>
          <w:tcPr>
            <w:tcW w:w="660" w:type="dxa"/>
            <w:vAlign w:val="bottom"/>
            <w:shd w:val="clear" w:color="auto" w:fill="C43776"/>
          </w:tcPr>
          <w:p>
            <w:pPr>
              <w:spacing w:after="0"/>
              <w:rPr>
                <w:sz w:val="8"/>
                <w:szCs w:val="8"/>
                <w:color w:val="auto"/>
              </w:rPr>
            </w:pPr>
          </w:p>
        </w:tc>
        <w:tc>
          <w:tcPr>
            <w:tcW w:w="980" w:type="dxa"/>
            <w:vAlign w:val="bottom"/>
            <w:shd w:val="clear" w:color="auto" w:fill="C43776"/>
          </w:tcPr>
          <w:p>
            <w:pPr>
              <w:spacing w:after="0"/>
              <w:rPr>
                <w:sz w:val="8"/>
                <w:szCs w:val="8"/>
                <w:color w:val="auto"/>
              </w:rPr>
            </w:pPr>
          </w:p>
        </w:tc>
        <w:tc>
          <w:tcPr>
            <w:tcW w:w="52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jc w:val="right"/>
              <w:spacing w:after="0"/>
              <w:rPr>
                <w:sz w:val="20"/>
                <w:szCs w:val="20"/>
                <w:color w:val="auto"/>
              </w:rPr>
            </w:pPr>
            <w:r>
              <w:rPr>
                <w:rFonts w:ascii="Arial" w:cs="Arial" w:eastAsia="Arial" w:hAnsi="Arial"/>
                <w:sz w:val="13"/>
                <w:szCs w:val="13"/>
                <w:b w:val="1"/>
                <w:bCs w:val="1"/>
                <w:color w:val="FFFFFF"/>
                <w:w w:val="93"/>
              </w:rPr>
              <w:t>Achievement</w:t>
            </w: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FFFFFF"/>
              </w:rPr>
              <w:t>Target</w:t>
            </w:r>
          </w:p>
        </w:tc>
      </w:tr>
      <w:tr>
        <w:trPr>
          <w:trHeight w:val="148"/>
        </w:trPr>
        <w:tc>
          <w:tcPr>
            <w:tcW w:w="820" w:type="dxa"/>
            <w:vAlign w:val="bottom"/>
          </w:tcPr>
          <w:p>
            <w:pPr>
              <w:jc w:val="right"/>
              <w:spacing w:after="0"/>
              <w:rPr>
                <w:sz w:val="20"/>
                <w:szCs w:val="20"/>
                <w:color w:val="auto"/>
              </w:rPr>
            </w:pPr>
            <w:r>
              <w:rPr>
                <w:rFonts w:ascii="Arial" w:cs="Arial" w:eastAsia="Arial" w:hAnsi="Arial"/>
                <w:sz w:val="13"/>
                <w:szCs w:val="13"/>
                <w:b w:val="1"/>
                <w:bCs w:val="1"/>
                <w:color w:val="FFFFFF"/>
              </w:rPr>
              <w:t>($ values in</w:t>
            </w:r>
          </w:p>
        </w:tc>
        <w:tc>
          <w:tcPr>
            <w:tcW w:w="1000" w:type="dxa"/>
            <w:vAlign w:val="bottom"/>
          </w:tcPr>
          <w:p>
            <w:pPr>
              <w:jc w:val="right"/>
              <w:ind w:right="77"/>
              <w:spacing w:after="0"/>
              <w:rPr>
                <w:sz w:val="20"/>
                <w:szCs w:val="20"/>
                <w:color w:val="auto"/>
              </w:rPr>
            </w:pPr>
            <w:r>
              <w:rPr>
                <w:rFonts w:ascii="Arial" w:cs="Arial" w:eastAsia="Arial" w:hAnsi="Arial"/>
                <w:sz w:val="13"/>
                <w:szCs w:val="13"/>
                <w:b w:val="1"/>
                <w:bCs w:val="1"/>
                <w:color w:val="FFFFFF"/>
              </w:rPr>
              <w:t>Earned</w:t>
            </w:r>
          </w:p>
        </w:tc>
      </w:tr>
      <w:tr>
        <w:trPr>
          <w:trHeight w:val="166"/>
        </w:trPr>
        <w:tc>
          <w:tcPr>
            <w:tcW w:w="820" w:type="dxa"/>
            <w:vAlign w:val="bottom"/>
          </w:tcPr>
          <w:p>
            <w:pPr>
              <w:jc w:val="right"/>
              <w:spacing w:after="0"/>
              <w:rPr>
                <w:sz w:val="20"/>
                <w:szCs w:val="20"/>
                <w:color w:val="auto"/>
              </w:rPr>
            </w:pPr>
            <w:r>
              <w:rPr>
                <w:rFonts w:ascii="Arial" w:cs="Arial" w:eastAsia="Arial" w:hAnsi="Arial"/>
                <w:sz w:val="13"/>
                <w:szCs w:val="13"/>
                <w:b w:val="1"/>
                <w:bCs w:val="1"/>
                <w:color w:val="FFFFFF"/>
              </w:rPr>
              <w:t>millions)</w:t>
            </w:r>
          </w:p>
        </w:tc>
        <w:tc>
          <w:tcPr>
            <w:tcW w:w="1000" w:type="dxa"/>
            <w:vAlign w:val="bottom"/>
          </w:tcPr>
          <w:p>
            <w:pPr>
              <w:jc w:val="right"/>
              <w:ind w:right="77"/>
              <w:spacing w:after="0"/>
              <w:rPr>
                <w:sz w:val="20"/>
                <w:szCs w:val="20"/>
                <w:color w:val="auto"/>
              </w:rPr>
            </w:pPr>
            <w:r>
              <w:rPr>
                <w:rFonts w:ascii="Arial" w:cs="Arial" w:eastAsia="Arial" w:hAnsi="Arial"/>
                <w:sz w:val="13"/>
                <w:szCs w:val="13"/>
                <w:b w:val="1"/>
                <w:bCs w:val="1"/>
                <w:color w:val="FFFFFF"/>
              </w:rPr>
              <w:t>(%)</w:t>
            </w:r>
          </w:p>
        </w:tc>
      </w:tr>
      <w:tr>
        <w:trPr>
          <w:trHeight w:val="94"/>
        </w:trPr>
        <w:tc>
          <w:tcPr>
            <w:tcW w:w="820" w:type="dxa"/>
            <w:vAlign w:val="bottom"/>
          </w:tcPr>
          <w:p>
            <w:pPr>
              <w:spacing w:after="0"/>
              <w:rPr>
                <w:sz w:val="8"/>
                <w:szCs w:val="8"/>
                <w:color w:val="auto"/>
              </w:rPr>
            </w:pPr>
          </w:p>
        </w:tc>
        <w:tc>
          <w:tcPr>
            <w:tcW w:w="1000" w:type="dxa"/>
            <w:vAlign w:val="bottom"/>
            <w:shd w:val="clear" w:color="auto" w:fill="C43776"/>
          </w:tcPr>
          <w:p>
            <w:pPr>
              <w:spacing w:after="0"/>
              <w:rPr>
                <w:sz w:val="8"/>
                <w:szCs w:val="8"/>
                <w:color w:val="auto"/>
              </w:rPr>
            </w:pPr>
          </w:p>
        </w:tc>
      </w:tr>
    </w:tbl>
    <w:p>
      <w:pPr>
        <w:spacing w:after="0" w:line="31" w:lineRule="exact"/>
        <w:rPr>
          <w:sz w:val="20"/>
          <w:szCs w:val="20"/>
          <w:color w:val="auto"/>
        </w:rPr>
      </w:pPr>
    </w:p>
    <w:p>
      <w:pPr>
        <w:sectPr>
          <w:pgSz w:w="11900" w:h="16838" w:orient="portrait"/>
          <w:cols w:equalWidth="0" w:num="2">
            <w:col w:w="7100" w:space="160"/>
            <w:col w:w="1820"/>
          </w:cols>
          <w:pgMar w:left="1400" w:top="729" w:right="141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500" w:type="dxa"/>
            <w:vAlign w:val="bottom"/>
          </w:tcPr>
          <w:p>
            <w:pPr>
              <w:spacing w:after="0"/>
              <w:rPr>
                <w:sz w:val="15"/>
                <w:szCs w:val="15"/>
                <w:color w:val="auto"/>
              </w:rPr>
            </w:pPr>
          </w:p>
        </w:tc>
        <w:tc>
          <w:tcPr>
            <w:tcW w:w="1400" w:type="dxa"/>
            <w:vAlign w:val="bottom"/>
          </w:tcPr>
          <w:p>
            <w:pPr>
              <w:ind w:left="240"/>
              <w:spacing w:after="0"/>
              <w:rPr>
                <w:sz w:val="20"/>
                <w:szCs w:val="20"/>
                <w:color w:val="auto"/>
              </w:rPr>
            </w:pPr>
            <w:r>
              <w:rPr>
                <w:rFonts w:ascii="Arial" w:cs="Arial" w:eastAsia="Arial" w:hAnsi="Arial"/>
                <w:sz w:val="14"/>
                <w:szCs w:val="14"/>
                <w:color w:val="auto"/>
              </w:rPr>
              <w:t>Brazil Vehicle</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1.22</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1.10</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color w:val="auto"/>
              </w:rPr>
              <w:t>1.22</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1.28</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1.34</w:t>
            </w: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1.26</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96"/>
        </w:trPr>
        <w:tc>
          <w:tcPr>
            <w:tcW w:w="500" w:type="dxa"/>
            <w:vAlign w:val="bottom"/>
          </w:tcPr>
          <w:p>
            <w:pPr>
              <w:spacing w:after="0"/>
              <w:rPr>
                <w:sz w:val="8"/>
                <w:szCs w:val="8"/>
                <w:color w:val="auto"/>
              </w:rPr>
            </w:pPr>
          </w:p>
        </w:tc>
        <w:tc>
          <w:tcPr>
            <w:tcW w:w="1400" w:type="dxa"/>
            <w:vAlign w:val="bottom"/>
            <w:vMerge w:val="restart"/>
          </w:tcPr>
          <w:p>
            <w:pPr>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 xml:space="preserve">  Payments</w:t>
            </w:r>
          </w:p>
        </w:tc>
        <w:tc>
          <w:tcPr>
            <w:tcW w:w="5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00" w:type="dxa"/>
            <w:vAlign w:val="bottom"/>
            <w:vMerge w:val="restart"/>
          </w:tcPr>
          <w:p>
            <w:pPr>
              <w:ind w:left="140"/>
              <w:spacing w:after="0"/>
              <w:rPr>
                <w:sz w:val="20"/>
                <w:szCs w:val="20"/>
                <w:color w:val="auto"/>
              </w:rPr>
            </w:pPr>
            <w:r>
              <w:rPr>
                <w:rFonts w:ascii="Arial" w:cs="Arial" w:eastAsia="Arial" w:hAnsi="Arial"/>
                <w:sz w:val="14"/>
                <w:szCs w:val="14"/>
                <w:color w:val="auto"/>
                <w:w w:val="96"/>
              </w:rPr>
              <w:t>Sales</w:t>
            </w:r>
          </w:p>
        </w:tc>
        <w:tc>
          <w:tcPr>
            <w:tcW w:w="14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500" w:type="dxa"/>
            <w:vAlign w:val="bottom"/>
            <w:vMerge w:val="continue"/>
          </w:tcPr>
          <w:p>
            <w:pPr>
              <w:spacing w:after="0"/>
              <w:rPr>
                <w:sz w:val="7"/>
                <w:szCs w:val="7"/>
                <w:color w:val="auto"/>
              </w:rPr>
            </w:pPr>
          </w:p>
        </w:tc>
        <w:tc>
          <w:tcPr>
            <w:tcW w:w="1400" w:type="dxa"/>
            <w:vAlign w:val="bottom"/>
            <w:vMerge w:val="restart"/>
          </w:tcPr>
          <w:p>
            <w:pPr>
              <w:ind w:left="240"/>
              <w:spacing w:after="0"/>
              <w:rPr>
                <w:sz w:val="20"/>
                <w:szCs w:val="20"/>
                <w:color w:val="auto"/>
              </w:rPr>
            </w:pPr>
            <w:r>
              <w:rPr>
                <w:rFonts w:ascii="Arial" w:cs="Arial" w:eastAsia="Arial" w:hAnsi="Arial"/>
                <w:sz w:val="14"/>
                <w:szCs w:val="14"/>
                <w:color w:val="auto"/>
              </w:rPr>
              <w:t>U.S. Vehicle</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83.28</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74.95</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79.12</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color w:val="auto"/>
              </w:rPr>
              <w:t>83.28</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87.44</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91.61</w:t>
            </w: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73.00</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93"/>
        </w:trPr>
        <w:tc>
          <w:tcPr>
            <w:tcW w:w="5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00" w:type="dxa"/>
            <w:vAlign w:val="bottom"/>
          </w:tcPr>
          <w:p>
            <w:pPr>
              <w:spacing w:after="0"/>
              <w:rPr>
                <w:sz w:val="8"/>
                <w:szCs w:val="8"/>
                <w:color w:val="auto"/>
              </w:rPr>
            </w:pPr>
          </w:p>
        </w:tc>
        <w:tc>
          <w:tcPr>
            <w:tcW w:w="1400" w:type="dxa"/>
            <w:vAlign w:val="bottom"/>
            <w:vMerge w:val="restart"/>
          </w:tcPr>
          <w:p>
            <w:pPr>
              <w:ind w:left="240"/>
              <w:spacing w:after="0"/>
              <w:rPr>
                <w:sz w:val="20"/>
                <w:szCs w:val="20"/>
                <w:color w:val="auto"/>
              </w:rPr>
            </w:pPr>
            <w:r>
              <w:rPr>
                <w:rFonts w:ascii="Arial" w:cs="Arial" w:eastAsia="Arial" w:hAnsi="Arial"/>
                <w:sz w:val="14"/>
                <w:szCs w:val="14"/>
                <w:color w:val="auto"/>
              </w:rPr>
              <w:t>Payments</w:t>
            </w:r>
          </w:p>
        </w:tc>
        <w:tc>
          <w:tcPr>
            <w:tcW w:w="5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500" w:type="dxa"/>
            <w:vAlign w:val="bottom"/>
            <w:shd w:val="clear" w:color="auto" w:fill="F1F2F2"/>
          </w:tcPr>
          <w:p>
            <w:pPr>
              <w:spacing w:after="0"/>
              <w:rPr>
                <w:sz w:val="17"/>
                <w:szCs w:val="17"/>
                <w:color w:val="auto"/>
              </w:rPr>
            </w:pPr>
          </w:p>
        </w:tc>
        <w:tc>
          <w:tcPr>
            <w:tcW w:w="1400" w:type="dxa"/>
            <w:vAlign w:val="bottom"/>
            <w:shd w:val="clear" w:color="auto" w:fill="F1F2F2"/>
          </w:tcPr>
          <w:p>
            <w:pPr>
              <w:spacing w:after="0"/>
              <w:rPr>
                <w:sz w:val="17"/>
                <w:szCs w:val="17"/>
                <w:color w:val="auto"/>
              </w:rPr>
            </w:pPr>
          </w:p>
        </w:tc>
        <w:tc>
          <w:tcPr>
            <w:tcW w:w="560" w:type="dxa"/>
            <w:vAlign w:val="bottom"/>
            <w:shd w:val="clear" w:color="auto" w:fill="F1F2F2"/>
          </w:tcPr>
          <w:p>
            <w:pPr>
              <w:spacing w:after="0"/>
              <w:rPr>
                <w:sz w:val="17"/>
                <w:szCs w:val="17"/>
                <w:color w:val="auto"/>
              </w:rPr>
            </w:pPr>
          </w:p>
        </w:tc>
        <w:tc>
          <w:tcPr>
            <w:tcW w:w="102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At or below</w:t>
            </w:r>
          </w:p>
        </w:tc>
        <w:tc>
          <w:tcPr>
            <w:tcW w:w="620" w:type="dxa"/>
            <w:vAlign w:val="bottom"/>
            <w:shd w:val="clear" w:color="auto" w:fill="F1F2F2"/>
          </w:tcPr>
          <w:p>
            <w:pPr>
              <w:spacing w:after="0"/>
              <w:rPr>
                <w:sz w:val="17"/>
                <w:szCs w:val="17"/>
                <w:color w:val="auto"/>
              </w:rPr>
            </w:pPr>
          </w:p>
        </w:tc>
        <w:tc>
          <w:tcPr>
            <w:tcW w:w="740" w:type="dxa"/>
            <w:vAlign w:val="bottom"/>
            <w:shd w:val="clear" w:color="auto" w:fill="F1F2F2"/>
          </w:tcPr>
          <w:p>
            <w:pPr>
              <w:spacing w:after="0"/>
              <w:rPr>
                <w:sz w:val="17"/>
                <w:szCs w:val="17"/>
                <w:color w:val="auto"/>
              </w:rPr>
            </w:pPr>
          </w:p>
        </w:tc>
        <w:tc>
          <w:tcPr>
            <w:tcW w:w="920" w:type="dxa"/>
            <w:vAlign w:val="bottom"/>
            <w:shd w:val="clear" w:color="auto" w:fill="F1F2F2"/>
          </w:tcPr>
          <w:p>
            <w:pPr>
              <w:spacing w:after="0"/>
              <w:rPr>
                <w:sz w:val="17"/>
                <w:szCs w:val="17"/>
                <w:color w:val="auto"/>
              </w:rPr>
            </w:pPr>
          </w:p>
        </w:tc>
        <w:tc>
          <w:tcPr>
            <w:tcW w:w="620" w:type="dxa"/>
            <w:vAlign w:val="bottom"/>
            <w:shd w:val="clear" w:color="auto" w:fill="F1F2F2"/>
          </w:tcPr>
          <w:p>
            <w:pPr>
              <w:spacing w:after="0"/>
              <w:rPr>
                <w:sz w:val="17"/>
                <w:szCs w:val="17"/>
                <w:color w:val="auto"/>
              </w:rPr>
            </w:pPr>
          </w:p>
        </w:tc>
        <w:tc>
          <w:tcPr>
            <w:tcW w:w="820" w:type="dxa"/>
            <w:vAlign w:val="bottom"/>
            <w:shd w:val="clear" w:color="auto" w:fill="F1F2F2"/>
          </w:tcPr>
          <w:p>
            <w:pPr>
              <w:spacing w:after="0"/>
              <w:rPr>
                <w:sz w:val="17"/>
                <w:szCs w:val="17"/>
                <w:color w:val="auto"/>
              </w:rPr>
            </w:pPr>
          </w:p>
        </w:tc>
        <w:tc>
          <w:tcPr>
            <w:tcW w:w="108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00" w:type="dxa"/>
            <w:vAlign w:val="bottom"/>
            <w:shd w:val="clear" w:color="auto" w:fill="F1F2F2"/>
          </w:tcPr>
          <w:p>
            <w:pPr>
              <w:spacing w:after="0"/>
              <w:rPr>
                <w:sz w:val="14"/>
                <w:szCs w:val="14"/>
                <w:color w:val="auto"/>
              </w:rPr>
            </w:pPr>
          </w:p>
        </w:tc>
        <w:tc>
          <w:tcPr>
            <w:tcW w:w="1400" w:type="dxa"/>
            <w:vAlign w:val="bottom"/>
            <w:shd w:val="clear" w:color="auto" w:fill="F1F2F2"/>
          </w:tcPr>
          <w:p>
            <w:pPr>
              <w:ind w:left="920"/>
              <w:spacing w:after="0"/>
              <w:rPr>
                <w:sz w:val="20"/>
                <w:szCs w:val="20"/>
                <w:color w:val="auto"/>
              </w:rPr>
            </w:pPr>
            <w:r>
              <w:rPr>
                <w:rFonts w:ascii="Arial" w:cs="Arial" w:eastAsia="Arial" w:hAnsi="Arial"/>
                <w:sz w:val="9"/>
                <w:szCs w:val="9"/>
                <w:color w:val="auto"/>
              </w:rPr>
              <w:t>(1)</w:t>
            </w:r>
          </w:p>
        </w:tc>
        <w:tc>
          <w:tcPr>
            <w:tcW w:w="56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20</w:t>
            </w:r>
          </w:p>
        </w:tc>
        <w:tc>
          <w:tcPr>
            <w:tcW w:w="102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plan in each</w:t>
            </w:r>
          </w:p>
        </w:tc>
        <w:tc>
          <w:tcPr>
            <w:tcW w:w="62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At or</w:t>
            </w:r>
          </w:p>
        </w:tc>
        <w:tc>
          <w:tcPr>
            <w:tcW w:w="620" w:type="dxa"/>
            <w:vAlign w:val="bottom"/>
            <w:vMerge w:val="restart"/>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1F2F2"/>
          </w:tcPr>
          <w:p>
            <w:pPr>
              <w:jc w:val="right"/>
              <w:ind w:right="168"/>
              <w:spacing w:after="0"/>
              <w:rPr>
                <w:sz w:val="20"/>
                <w:szCs w:val="20"/>
                <w:color w:val="auto"/>
              </w:rPr>
            </w:pPr>
            <w:r>
              <w:rPr>
                <w:rFonts w:ascii="Arial" w:cs="Arial" w:eastAsia="Arial" w:hAnsi="Arial"/>
                <w:sz w:val="14"/>
                <w:szCs w:val="14"/>
                <w:color w:val="auto"/>
              </w:rPr>
              <w:t>Achieved 2</w:t>
            </w:r>
          </w:p>
        </w:tc>
        <w:tc>
          <w:tcPr>
            <w:tcW w:w="800" w:type="dxa"/>
            <w:vAlign w:val="bottom"/>
            <w:vMerge w:val="restart"/>
            <w:shd w:val="clear" w:color="auto" w:fill="F1F2F2"/>
          </w:tcPr>
          <w:p>
            <w:pPr>
              <w:jc w:val="right"/>
              <w:ind w:right="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F1F2F2"/>
          </w:tcPr>
          <w:p>
            <w:pPr>
              <w:ind w:left="140"/>
              <w:spacing w:after="0"/>
              <w:rPr>
                <w:sz w:val="20"/>
                <w:szCs w:val="20"/>
                <w:color w:val="auto"/>
              </w:rPr>
            </w:pPr>
            <w:r>
              <w:rPr>
                <w:rFonts w:ascii="Arial" w:cs="Arial" w:eastAsia="Arial" w:hAnsi="Arial"/>
                <w:sz w:val="14"/>
                <w:szCs w:val="14"/>
                <w:color w:val="auto"/>
              </w:rPr>
              <w:t>Quarterly Expenses</w:t>
            </w:r>
          </w:p>
        </w:tc>
        <w:tc>
          <w:tcPr>
            <w:tcW w:w="560" w:type="dxa"/>
            <w:vAlign w:val="bottom"/>
            <w:vMerge w:val="continue"/>
            <w:shd w:val="clear" w:color="auto" w:fill="F1F2F2"/>
          </w:tcPr>
          <w:p>
            <w:pPr>
              <w:spacing w:after="0"/>
              <w:rPr>
                <w:sz w:val="15"/>
                <w:szCs w:val="15"/>
                <w:color w:val="auto"/>
              </w:rPr>
            </w:pPr>
          </w:p>
        </w:tc>
        <w:tc>
          <w:tcPr>
            <w:tcW w:w="102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respective</w:t>
            </w:r>
          </w:p>
        </w:tc>
        <w:tc>
          <w:tcPr>
            <w:tcW w:w="620" w:type="dxa"/>
            <w:vAlign w:val="bottom"/>
            <w:vMerge w:val="continue"/>
            <w:shd w:val="clear" w:color="auto" w:fill="F1F2F2"/>
          </w:tcPr>
          <w:p>
            <w:pPr>
              <w:spacing w:after="0"/>
              <w:rPr>
                <w:sz w:val="15"/>
                <w:szCs w:val="15"/>
                <w:color w:val="auto"/>
              </w:rPr>
            </w:pPr>
          </w:p>
        </w:tc>
        <w:tc>
          <w:tcPr>
            <w:tcW w:w="740" w:type="dxa"/>
            <w:vAlign w:val="bottom"/>
            <w:vMerge w:val="continue"/>
            <w:shd w:val="clear" w:color="auto" w:fill="F1F2F2"/>
          </w:tcPr>
          <w:p>
            <w:pPr>
              <w:spacing w:after="0"/>
              <w:rPr>
                <w:sz w:val="15"/>
                <w:szCs w:val="15"/>
                <w:color w:val="auto"/>
              </w:rPr>
            </w:pPr>
          </w:p>
        </w:tc>
        <w:tc>
          <w:tcPr>
            <w:tcW w:w="92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below plan</w:t>
            </w:r>
          </w:p>
        </w:tc>
        <w:tc>
          <w:tcPr>
            <w:tcW w:w="620" w:type="dxa"/>
            <w:vAlign w:val="bottom"/>
            <w:vMerge w:val="continue"/>
            <w:shd w:val="clear" w:color="auto" w:fill="F1F2F2"/>
          </w:tcPr>
          <w:p>
            <w:pPr>
              <w:spacing w:after="0"/>
              <w:rPr>
                <w:sz w:val="15"/>
                <w:szCs w:val="15"/>
                <w:color w:val="auto"/>
              </w:rPr>
            </w:pPr>
          </w:p>
        </w:tc>
        <w:tc>
          <w:tcPr>
            <w:tcW w:w="820" w:type="dxa"/>
            <w:vAlign w:val="bottom"/>
            <w:vMerge w:val="continue"/>
            <w:shd w:val="clear" w:color="auto" w:fill="F1F2F2"/>
          </w:tcPr>
          <w:p>
            <w:pPr>
              <w:spacing w:after="0"/>
              <w:rPr>
                <w:sz w:val="15"/>
                <w:szCs w:val="15"/>
                <w:color w:val="auto"/>
              </w:rPr>
            </w:pPr>
          </w:p>
        </w:tc>
        <w:tc>
          <w:tcPr>
            <w:tcW w:w="1080" w:type="dxa"/>
            <w:vAlign w:val="bottom"/>
            <w:vMerge w:val="continue"/>
            <w:shd w:val="clear" w:color="auto" w:fill="F1F2F2"/>
          </w:tcPr>
          <w:p>
            <w:pPr>
              <w:spacing w:after="0"/>
              <w:rPr>
                <w:sz w:val="15"/>
                <w:szCs w:val="15"/>
                <w:color w:val="auto"/>
              </w:rPr>
            </w:pPr>
          </w:p>
        </w:tc>
        <w:tc>
          <w:tcPr>
            <w:tcW w:w="800" w:type="dxa"/>
            <w:vAlign w:val="bottom"/>
            <w:vMerge w:val="continue"/>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0" w:type="dxa"/>
            <w:vAlign w:val="bottom"/>
            <w:shd w:val="clear" w:color="auto" w:fill="F1F2F2"/>
          </w:tcPr>
          <w:p>
            <w:pPr>
              <w:spacing w:after="0"/>
              <w:rPr>
                <w:sz w:val="16"/>
                <w:szCs w:val="16"/>
                <w:color w:val="auto"/>
              </w:rPr>
            </w:pPr>
          </w:p>
        </w:tc>
        <w:tc>
          <w:tcPr>
            <w:tcW w:w="1400" w:type="dxa"/>
            <w:vAlign w:val="bottom"/>
            <w:shd w:val="clear" w:color="auto" w:fill="F1F2F2"/>
          </w:tcPr>
          <w:p>
            <w:pPr>
              <w:spacing w:after="0"/>
              <w:rPr>
                <w:sz w:val="16"/>
                <w:szCs w:val="16"/>
                <w:color w:val="auto"/>
              </w:rPr>
            </w:pPr>
          </w:p>
        </w:tc>
        <w:tc>
          <w:tcPr>
            <w:tcW w:w="560" w:type="dxa"/>
            <w:vAlign w:val="bottom"/>
            <w:shd w:val="clear" w:color="auto" w:fill="F1F2F2"/>
          </w:tcPr>
          <w:p>
            <w:pPr>
              <w:spacing w:after="0"/>
              <w:rPr>
                <w:sz w:val="16"/>
                <w:szCs w:val="16"/>
                <w:color w:val="auto"/>
              </w:rPr>
            </w:pPr>
          </w:p>
        </w:tc>
        <w:tc>
          <w:tcPr>
            <w:tcW w:w="102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quarter</w:t>
            </w:r>
          </w:p>
        </w:tc>
        <w:tc>
          <w:tcPr>
            <w:tcW w:w="620" w:type="dxa"/>
            <w:vAlign w:val="bottom"/>
            <w:shd w:val="clear" w:color="auto" w:fill="F1F2F2"/>
          </w:tcPr>
          <w:p>
            <w:pPr>
              <w:spacing w:after="0"/>
              <w:rPr>
                <w:sz w:val="16"/>
                <w:szCs w:val="16"/>
                <w:color w:val="auto"/>
              </w:rPr>
            </w:pPr>
          </w:p>
        </w:tc>
        <w:tc>
          <w:tcPr>
            <w:tcW w:w="740" w:type="dxa"/>
            <w:vAlign w:val="bottom"/>
            <w:shd w:val="clear" w:color="auto" w:fill="F1F2F2"/>
          </w:tcPr>
          <w:p>
            <w:pPr>
              <w:spacing w:after="0"/>
              <w:rPr>
                <w:sz w:val="16"/>
                <w:szCs w:val="16"/>
                <w:color w:val="auto"/>
              </w:rPr>
            </w:pPr>
          </w:p>
        </w:tc>
        <w:tc>
          <w:tcPr>
            <w:tcW w:w="920" w:type="dxa"/>
            <w:vAlign w:val="bottom"/>
            <w:shd w:val="clear" w:color="auto" w:fill="F1F2F2"/>
          </w:tcPr>
          <w:p>
            <w:pPr>
              <w:spacing w:after="0"/>
              <w:rPr>
                <w:sz w:val="16"/>
                <w:szCs w:val="16"/>
                <w:color w:val="auto"/>
              </w:rPr>
            </w:pPr>
          </w:p>
        </w:tc>
        <w:tc>
          <w:tcPr>
            <w:tcW w:w="620" w:type="dxa"/>
            <w:vAlign w:val="bottom"/>
            <w:shd w:val="clear" w:color="auto" w:fill="F1F2F2"/>
          </w:tcPr>
          <w:p>
            <w:pPr>
              <w:spacing w:after="0"/>
              <w:rPr>
                <w:sz w:val="16"/>
                <w:szCs w:val="16"/>
                <w:color w:val="auto"/>
              </w:rPr>
            </w:pPr>
          </w:p>
        </w:tc>
        <w:tc>
          <w:tcPr>
            <w:tcW w:w="820" w:type="dxa"/>
            <w:vAlign w:val="bottom"/>
            <w:shd w:val="clear" w:color="auto" w:fill="F1F2F2"/>
          </w:tcPr>
          <w:p>
            <w:pPr>
              <w:spacing w:after="0"/>
              <w:rPr>
                <w:sz w:val="16"/>
                <w:szCs w:val="16"/>
                <w:color w:val="auto"/>
              </w:rPr>
            </w:pPr>
          </w:p>
        </w:tc>
        <w:tc>
          <w:tcPr>
            <w:tcW w:w="1080" w:type="dxa"/>
            <w:vAlign w:val="bottom"/>
            <w:shd w:val="clear" w:color="auto" w:fill="F1F2F2"/>
          </w:tcPr>
          <w:p>
            <w:pPr>
              <w:spacing w:after="0"/>
              <w:rPr>
                <w:sz w:val="16"/>
                <w:szCs w:val="16"/>
                <w:color w:val="auto"/>
              </w:rPr>
            </w:pPr>
          </w:p>
        </w:tc>
        <w:tc>
          <w:tcPr>
            <w:tcW w:w="80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Key Projects</w:t>
            </w:r>
            <w:r>
              <w:rPr>
                <w:rFonts w:ascii="Arial" w:cs="Arial" w:eastAsia="Arial" w:hAnsi="Arial"/>
                <w:sz w:val="18"/>
                <w:szCs w:val="18"/>
                <w:color w:val="auto"/>
                <w:vertAlign w:val="superscript"/>
              </w:rPr>
              <w:t>(2)</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Achieve 2</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Achieve 1</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Achieve 2</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Achieved 1</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goals</w:t>
            </w:r>
          </w:p>
        </w:tc>
        <w:tc>
          <w:tcPr>
            <w:tcW w:w="6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goal</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goals</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 w:type="dxa"/>
            <w:vAlign w:val="bottom"/>
            <w:tcBorders>
              <w:bottom w:val="single" w:sz="8" w:color="C43776"/>
            </w:tcBorders>
          </w:tcPr>
          <w:p>
            <w:pPr>
              <w:spacing w:after="0"/>
              <w:rPr>
                <w:sz w:val="3"/>
                <w:szCs w:val="3"/>
                <w:color w:val="auto"/>
              </w:rPr>
            </w:pPr>
          </w:p>
        </w:tc>
        <w:tc>
          <w:tcPr>
            <w:tcW w:w="1400" w:type="dxa"/>
            <w:vAlign w:val="bottom"/>
            <w:tcBorders>
              <w:bottom w:val="single" w:sz="8" w:color="C43776"/>
            </w:tcBorders>
          </w:tcPr>
          <w:p>
            <w:pPr>
              <w:spacing w:after="0"/>
              <w:rPr>
                <w:sz w:val="3"/>
                <w:szCs w:val="3"/>
                <w:color w:val="auto"/>
              </w:rPr>
            </w:pPr>
          </w:p>
        </w:tc>
        <w:tc>
          <w:tcPr>
            <w:tcW w:w="560" w:type="dxa"/>
            <w:vAlign w:val="bottom"/>
            <w:tcBorders>
              <w:bottom w:val="single" w:sz="8" w:color="C43776"/>
            </w:tcBorders>
          </w:tcPr>
          <w:p>
            <w:pPr>
              <w:spacing w:after="0"/>
              <w:rPr>
                <w:sz w:val="3"/>
                <w:szCs w:val="3"/>
                <w:color w:val="auto"/>
              </w:rPr>
            </w:pPr>
          </w:p>
        </w:tc>
        <w:tc>
          <w:tcPr>
            <w:tcW w:w="1020" w:type="dxa"/>
            <w:vAlign w:val="bottom"/>
            <w:tcBorders>
              <w:bottom w:val="single" w:sz="8" w:color="C43776"/>
            </w:tcBorders>
          </w:tcPr>
          <w:p>
            <w:pPr>
              <w:spacing w:after="0"/>
              <w:rPr>
                <w:sz w:val="3"/>
                <w:szCs w:val="3"/>
                <w:color w:val="auto"/>
              </w:rPr>
            </w:pPr>
          </w:p>
        </w:tc>
        <w:tc>
          <w:tcPr>
            <w:tcW w:w="620" w:type="dxa"/>
            <w:vAlign w:val="bottom"/>
            <w:tcBorders>
              <w:bottom w:val="single" w:sz="8" w:color="C43776"/>
            </w:tcBorders>
          </w:tcPr>
          <w:p>
            <w:pPr>
              <w:spacing w:after="0"/>
              <w:rPr>
                <w:sz w:val="3"/>
                <w:szCs w:val="3"/>
                <w:color w:val="auto"/>
              </w:rPr>
            </w:pPr>
          </w:p>
        </w:tc>
        <w:tc>
          <w:tcPr>
            <w:tcW w:w="740" w:type="dxa"/>
            <w:vAlign w:val="bottom"/>
            <w:tcBorders>
              <w:bottom w:val="single" w:sz="8" w:color="C43776"/>
            </w:tcBorders>
          </w:tcPr>
          <w:p>
            <w:pPr>
              <w:spacing w:after="0"/>
              <w:rPr>
                <w:sz w:val="3"/>
                <w:szCs w:val="3"/>
                <w:color w:val="auto"/>
              </w:rPr>
            </w:pPr>
          </w:p>
        </w:tc>
        <w:tc>
          <w:tcPr>
            <w:tcW w:w="920" w:type="dxa"/>
            <w:vAlign w:val="bottom"/>
            <w:tcBorders>
              <w:bottom w:val="single" w:sz="8" w:color="C43776"/>
            </w:tcBorders>
          </w:tcPr>
          <w:p>
            <w:pPr>
              <w:spacing w:after="0"/>
              <w:rPr>
                <w:sz w:val="3"/>
                <w:szCs w:val="3"/>
                <w:color w:val="auto"/>
              </w:rPr>
            </w:pPr>
          </w:p>
        </w:tc>
        <w:tc>
          <w:tcPr>
            <w:tcW w:w="2520" w:type="dxa"/>
            <w:vAlign w:val="bottom"/>
            <w:tcBorders>
              <w:bottom w:val="single" w:sz="8" w:color="C43776"/>
            </w:tcBorders>
            <w:gridSpan w:val="3"/>
          </w:tcPr>
          <w:p>
            <w:pPr>
              <w:spacing w:after="0"/>
              <w:rPr>
                <w:sz w:val="3"/>
                <w:szCs w:val="3"/>
                <w:color w:val="auto"/>
              </w:rPr>
            </w:pPr>
          </w:p>
        </w:tc>
        <w:tc>
          <w:tcPr>
            <w:tcW w:w="800" w:type="dxa"/>
            <w:vAlign w:val="bottom"/>
            <w:tcBorders>
              <w:bottom w:val="single" w:sz="8" w:color="C4377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Target Number of Shares</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1,458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Formulaic Earned Payout %</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63.4 %</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Earned Number of Shares</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925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3" w:lineRule="auto"/>
        <w:tabs>
          <w:tab w:leader="none" w:pos="34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Adjusted (a) to be consistent with the macro-economic environment assumed in the 2025 budget, (b) for addbacks and (c) for the pro-forma impact of acquisitions and/or divestitures.</w:t>
      </w:r>
    </w:p>
    <w:p>
      <w:pPr>
        <w:spacing w:after="0" w:line="11" w:lineRule="exact"/>
        <w:rPr>
          <w:rFonts w:ascii="Arial" w:cs="Arial" w:eastAsia="Arial" w:hAnsi="Arial"/>
          <w:sz w:val="13"/>
          <w:szCs w:val="13"/>
          <w:i w:val="1"/>
          <w:iCs w:val="1"/>
          <w:color w:val="auto"/>
        </w:rPr>
      </w:pPr>
    </w:p>
    <w:p>
      <w:pPr>
        <w:ind w:left="340" w:hanging="332"/>
        <w:spacing w:after="0"/>
        <w:tabs>
          <w:tab w:leader="none" w:pos="34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(a) Achieve specified product spend and/or cross-sell achievement (not achieved) and (b) sign 1 new meaningful partner (achieved).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Equity Incentive</w:t>
      </w:r>
    </w:p>
    <w:p>
      <w:pPr>
        <w:spacing w:after="0" w:line="59" w:lineRule="exact"/>
        <w:rPr>
          <w:sz w:val="20"/>
          <w:szCs w:val="20"/>
          <w:color w:val="auto"/>
        </w:rPr>
      </w:pPr>
    </w:p>
    <w:p>
      <w:pPr>
        <w:jc w:val="both"/>
        <w:ind w:right="240"/>
        <w:spacing w:after="0" w:line="270" w:lineRule="auto"/>
        <w:rPr>
          <w:sz w:val="20"/>
          <w:szCs w:val="20"/>
          <w:color w:val="auto"/>
        </w:rPr>
      </w:pPr>
      <w:r>
        <w:rPr>
          <w:rFonts w:ascii="Arial" w:cs="Arial" w:eastAsia="Arial" w:hAnsi="Arial"/>
          <w:sz w:val="16"/>
          <w:szCs w:val="16"/>
          <w:color w:val="auto"/>
        </w:rPr>
        <w:t>Mr. Netto’s 2025 Long-Term Equity Incentive grant with a one-year performance period was earned based on achievement against a target goal of U.S. and Brazil Vehicle Payments GAAP revenue, as adjusted, of $722.4 million and $678.5 million, respectively, for 2025 (all dollar values in millions).</w:t>
      </w:r>
      <w:r>
        <w:rPr>
          <w:rFonts w:ascii="Arial" w:cs="Arial" w:eastAsia="Arial" w:hAnsi="Arial"/>
          <w:sz w:val="21"/>
          <w:szCs w:val="21"/>
          <w:color w:val="auto"/>
          <w:vertAlign w:val="superscript"/>
        </w:rPr>
        <w:t>(1)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0" w:type="dxa"/>
            <w:vAlign w:val="bottom"/>
            <w:shd w:val="clear" w:color="auto" w:fill="C43776"/>
          </w:tcPr>
          <w:p>
            <w:pPr>
              <w:spacing w:after="0"/>
              <w:rPr>
                <w:sz w:val="21"/>
                <w:szCs w:val="21"/>
                <w:color w:val="auto"/>
              </w:rPr>
            </w:pPr>
          </w:p>
        </w:tc>
        <w:tc>
          <w:tcPr>
            <w:tcW w:w="76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Below</w:t>
            </w:r>
          </w:p>
        </w:tc>
        <w:tc>
          <w:tcPr>
            <w:tcW w:w="860" w:type="dxa"/>
            <w:vAlign w:val="bottom"/>
            <w:shd w:val="clear" w:color="auto" w:fill="C43776"/>
          </w:tcPr>
          <w:p>
            <w:pPr>
              <w:spacing w:after="0"/>
              <w:rPr>
                <w:sz w:val="21"/>
                <w:szCs w:val="21"/>
                <w:color w:val="auto"/>
              </w:rPr>
            </w:pPr>
          </w:p>
        </w:tc>
        <w:tc>
          <w:tcPr>
            <w:tcW w:w="740" w:type="dxa"/>
            <w:vAlign w:val="bottom"/>
            <w:shd w:val="clear" w:color="auto" w:fill="C43776"/>
          </w:tcPr>
          <w:p>
            <w:pPr>
              <w:jc w:val="right"/>
              <w:ind w:right="117"/>
              <w:spacing w:after="0"/>
              <w:rPr>
                <w:sz w:val="20"/>
                <w:szCs w:val="20"/>
                <w:color w:val="auto"/>
              </w:rPr>
            </w:pPr>
            <w:r>
              <w:rPr>
                <w:rFonts w:ascii="Arial" w:cs="Arial" w:eastAsia="Arial" w:hAnsi="Arial"/>
                <w:sz w:val="13"/>
                <w:szCs w:val="13"/>
                <w:b w:val="1"/>
                <w:bCs w:val="1"/>
                <w:color w:val="FFFFFF"/>
              </w:rPr>
              <w:t>Below</w:t>
            </w:r>
          </w:p>
        </w:tc>
        <w:tc>
          <w:tcPr>
            <w:tcW w:w="72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Below</w:t>
            </w:r>
          </w:p>
        </w:tc>
        <w:tc>
          <w:tcPr>
            <w:tcW w:w="740" w:type="dxa"/>
            <w:vAlign w:val="bottom"/>
            <w:shd w:val="clear" w:color="auto" w:fill="C43776"/>
          </w:tcPr>
          <w:p>
            <w:pPr>
              <w:spacing w:after="0"/>
              <w:rPr>
                <w:sz w:val="21"/>
                <w:szCs w:val="21"/>
                <w:color w:val="auto"/>
              </w:rPr>
            </w:pPr>
          </w:p>
        </w:tc>
        <w:tc>
          <w:tcPr>
            <w:tcW w:w="66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Above</w:t>
            </w:r>
          </w:p>
        </w:tc>
        <w:tc>
          <w:tcPr>
            <w:tcW w:w="800" w:type="dxa"/>
            <w:vAlign w:val="bottom"/>
            <w:shd w:val="clear" w:color="auto" w:fill="C43776"/>
          </w:tcPr>
          <w:p>
            <w:pPr>
              <w:spacing w:after="0"/>
              <w:rPr>
                <w:sz w:val="21"/>
                <w:szCs w:val="21"/>
                <w:color w:val="auto"/>
              </w:rPr>
            </w:pPr>
          </w:p>
        </w:tc>
        <w:tc>
          <w:tcPr>
            <w:tcW w:w="1100" w:type="dxa"/>
            <w:vAlign w:val="bottom"/>
            <w:shd w:val="clear" w:color="auto" w:fill="C43776"/>
          </w:tcPr>
          <w:p>
            <w:pPr>
              <w:spacing w:after="0"/>
              <w:rPr>
                <w:sz w:val="21"/>
                <w:szCs w:val="21"/>
                <w:color w:val="auto"/>
              </w:rPr>
            </w:pPr>
          </w:p>
        </w:tc>
        <w:tc>
          <w:tcPr>
            <w:tcW w:w="960" w:type="dxa"/>
            <w:vAlign w:val="bottom"/>
            <w:shd w:val="clear" w:color="auto" w:fill="C43776"/>
          </w:tcPr>
          <w:p>
            <w:pPr>
              <w:spacing w:after="0"/>
              <w:rPr>
                <w:sz w:val="21"/>
                <w:szCs w:val="21"/>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Performance-</w:t>
            </w:r>
          </w:p>
        </w:tc>
      </w:tr>
      <w:tr>
        <w:trPr>
          <w:trHeight w:val="162"/>
        </w:trPr>
        <w:tc>
          <w:tcPr>
            <w:tcW w:w="540" w:type="dxa"/>
            <w:vAlign w:val="bottom"/>
            <w:shd w:val="clear" w:color="auto" w:fill="C43776"/>
          </w:tcPr>
          <w:p>
            <w:pPr>
              <w:spacing w:after="0"/>
              <w:rPr>
                <w:sz w:val="14"/>
                <w:szCs w:val="14"/>
                <w:color w:val="auto"/>
              </w:rPr>
            </w:pPr>
          </w:p>
        </w:tc>
        <w:tc>
          <w:tcPr>
            <w:tcW w:w="7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Threshold</w:t>
            </w:r>
          </w:p>
        </w:tc>
        <w:tc>
          <w:tcPr>
            <w:tcW w:w="860" w:type="dxa"/>
            <w:vAlign w:val="bottom"/>
            <w:shd w:val="clear" w:color="auto" w:fill="C43776"/>
          </w:tcPr>
          <w:p>
            <w:pPr>
              <w:jc w:val="right"/>
              <w:ind w:right="117"/>
              <w:spacing w:after="0"/>
              <w:rPr>
                <w:sz w:val="20"/>
                <w:szCs w:val="20"/>
                <w:color w:val="auto"/>
              </w:rPr>
            </w:pPr>
            <w:r>
              <w:rPr>
                <w:rFonts w:ascii="Arial" w:cs="Arial" w:eastAsia="Arial" w:hAnsi="Arial"/>
                <w:sz w:val="13"/>
                <w:szCs w:val="13"/>
                <w:b w:val="1"/>
                <w:bCs w:val="1"/>
                <w:color w:val="FFFFFF"/>
              </w:rPr>
              <w:t>Threshold</w:t>
            </w:r>
          </w:p>
        </w:tc>
        <w:tc>
          <w:tcPr>
            <w:tcW w:w="74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Target</w:t>
            </w:r>
          </w:p>
        </w:tc>
        <w:tc>
          <w:tcPr>
            <w:tcW w:w="720" w:type="dxa"/>
            <w:vAlign w:val="bottom"/>
            <w:shd w:val="clear" w:color="auto" w:fill="C43776"/>
          </w:tcPr>
          <w:p>
            <w:pPr>
              <w:jc w:val="right"/>
              <w:ind w:right="117"/>
              <w:spacing w:after="0"/>
              <w:rPr>
                <w:sz w:val="20"/>
                <w:szCs w:val="20"/>
                <w:color w:val="auto"/>
              </w:rPr>
            </w:pPr>
            <w:r>
              <w:rPr>
                <w:rFonts w:ascii="Arial" w:cs="Arial" w:eastAsia="Arial" w:hAnsi="Arial"/>
                <w:sz w:val="13"/>
                <w:szCs w:val="13"/>
                <w:b w:val="1"/>
                <w:bCs w:val="1"/>
                <w:color w:val="FFFFFF"/>
              </w:rPr>
              <w:t>Target</w:t>
            </w:r>
          </w:p>
        </w:tc>
        <w:tc>
          <w:tcPr>
            <w:tcW w:w="74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Target</w:t>
            </w:r>
          </w:p>
        </w:tc>
        <w:tc>
          <w:tcPr>
            <w:tcW w:w="66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Maximum</w:t>
            </w:r>
          </w:p>
        </w:tc>
        <w:tc>
          <w:tcPr>
            <w:tcW w:w="1100" w:type="dxa"/>
            <w:vAlign w:val="bottom"/>
            <w:shd w:val="clear" w:color="auto" w:fill="C43776"/>
          </w:tcPr>
          <w:p>
            <w:pPr>
              <w:spacing w:after="0"/>
              <w:rPr>
                <w:sz w:val="14"/>
                <w:szCs w:val="14"/>
                <w:color w:val="auto"/>
              </w:rPr>
            </w:pPr>
          </w:p>
        </w:tc>
        <w:tc>
          <w:tcPr>
            <w:tcW w:w="960" w:type="dxa"/>
            <w:vAlign w:val="bottom"/>
            <w:shd w:val="clear" w:color="auto" w:fill="C43776"/>
          </w:tcPr>
          <w:p>
            <w:pPr>
              <w:spacing w:after="0"/>
              <w:rPr>
                <w:sz w:val="14"/>
                <w:szCs w:val="14"/>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Based Shares</w:t>
            </w:r>
          </w:p>
        </w:tc>
      </w:tr>
      <w:tr>
        <w:trPr>
          <w:trHeight w:val="149"/>
        </w:trPr>
        <w:tc>
          <w:tcPr>
            <w:tcW w:w="540" w:type="dxa"/>
            <w:vAlign w:val="bottom"/>
            <w:shd w:val="clear" w:color="auto" w:fill="C43776"/>
          </w:tcPr>
          <w:p>
            <w:pPr>
              <w:spacing w:after="0"/>
              <w:rPr>
                <w:sz w:val="12"/>
                <w:szCs w:val="12"/>
                <w:color w:val="auto"/>
              </w:rPr>
            </w:pPr>
          </w:p>
        </w:tc>
        <w:tc>
          <w:tcPr>
            <w:tcW w:w="76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(0%)</w:t>
            </w:r>
          </w:p>
        </w:tc>
        <w:tc>
          <w:tcPr>
            <w:tcW w:w="860" w:type="dxa"/>
            <w:vAlign w:val="bottom"/>
            <w:shd w:val="clear" w:color="auto" w:fill="C43776"/>
          </w:tcPr>
          <w:p>
            <w:pPr>
              <w:jc w:val="center"/>
              <w:ind w:left="97"/>
              <w:spacing w:after="0"/>
              <w:rPr>
                <w:sz w:val="20"/>
                <w:szCs w:val="20"/>
                <w:color w:val="auto"/>
              </w:rPr>
            </w:pPr>
            <w:r>
              <w:rPr>
                <w:rFonts w:ascii="Arial" w:cs="Arial" w:eastAsia="Arial" w:hAnsi="Arial"/>
                <w:sz w:val="13"/>
                <w:szCs w:val="13"/>
                <w:b w:val="1"/>
                <w:bCs w:val="1"/>
                <w:color w:val="FFFFFF"/>
                <w:w w:val="97"/>
              </w:rPr>
              <w:t>(25%)</w:t>
            </w:r>
          </w:p>
        </w:tc>
        <w:tc>
          <w:tcPr>
            <w:tcW w:w="74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w w:val="97"/>
              </w:rPr>
              <w:t>(50%)</w:t>
            </w:r>
          </w:p>
        </w:tc>
        <w:tc>
          <w:tcPr>
            <w:tcW w:w="72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w w:val="97"/>
              </w:rPr>
              <w:t>(75%)</w:t>
            </w:r>
          </w:p>
        </w:tc>
        <w:tc>
          <w:tcPr>
            <w:tcW w:w="74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(100%)</w:t>
            </w:r>
          </w:p>
        </w:tc>
        <w:tc>
          <w:tcPr>
            <w:tcW w:w="66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(125%)</w:t>
            </w:r>
          </w:p>
        </w:tc>
        <w:tc>
          <w:tcPr>
            <w:tcW w:w="8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(150%)</w:t>
            </w:r>
          </w:p>
        </w:tc>
        <w:tc>
          <w:tcPr>
            <w:tcW w:w="11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Achievement</w:t>
            </w:r>
          </w:p>
        </w:tc>
        <w:tc>
          <w:tcPr>
            <w:tcW w:w="960" w:type="dxa"/>
            <w:vAlign w:val="bottom"/>
            <w:shd w:val="clear" w:color="auto" w:fill="C43776"/>
          </w:tcPr>
          <w:p>
            <w:pPr>
              <w:spacing w:after="0"/>
              <w:rPr>
                <w:sz w:val="12"/>
                <w:szCs w:val="12"/>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Earned</w:t>
            </w:r>
          </w:p>
        </w:tc>
      </w:tr>
      <w:tr>
        <w:trPr>
          <w:trHeight w:val="172"/>
        </w:trPr>
        <w:tc>
          <w:tcPr>
            <w:tcW w:w="540" w:type="dxa"/>
            <w:vAlign w:val="bottom"/>
            <w:shd w:val="clear" w:color="auto" w:fill="C43776"/>
          </w:tcPr>
          <w:p>
            <w:pPr>
              <w:spacing w:after="0"/>
              <w:rPr>
                <w:sz w:val="14"/>
                <w:szCs w:val="14"/>
                <w:color w:val="auto"/>
              </w:rPr>
            </w:pPr>
          </w:p>
        </w:tc>
        <w:tc>
          <w:tcPr>
            <w:tcW w:w="76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C43776"/>
          </w:tcPr>
          <w:p>
            <w:pPr>
              <w:jc w:val="right"/>
              <w:ind w:right="117"/>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C43776"/>
          </w:tcPr>
          <w:p>
            <w:pPr>
              <w:jc w:val="right"/>
              <w:ind w:right="117"/>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w:t>
            </w:r>
          </w:p>
        </w:tc>
        <w:tc>
          <w:tcPr>
            <w:tcW w:w="660" w:type="dxa"/>
            <w:vAlign w:val="bottom"/>
            <w:shd w:val="clear" w:color="auto" w:fill="C43776"/>
          </w:tcPr>
          <w:p>
            <w:pPr>
              <w:jc w:val="right"/>
              <w:ind w:right="17"/>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Payout (%)</w:t>
            </w: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w:t>
            </w:r>
          </w:p>
        </w:tc>
      </w:tr>
      <w:tr>
        <w:trPr>
          <w:trHeight w:val="103"/>
        </w:trPr>
        <w:tc>
          <w:tcPr>
            <w:tcW w:w="540" w:type="dxa"/>
            <w:vAlign w:val="bottom"/>
            <w:shd w:val="clear" w:color="auto" w:fill="C43776"/>
          </w:tcPr>
          <w:p>
            <w:pPr>
              <w:spacing w:after="0"/>
              <w:rPr>
                <w:sz w:val="8"/>
                <w:szCs w:val="8"/>
                <w:color w:val="auto"/>
              </w:rPr>
            </w:pPr>
          </w:p>
        </w:tc>
        <w:tc>
          <w:tcPr>
            <w:tcW w:w="760" w:type="dxa"/>
            <w:vAlign w:val="bottom"/>
            <w:shd w:val="clear" w:color="auto" w:fill="C43776"/>
          </w:tcPr>
          <w:p>
            <w:pPr>
              <w:spacing w:after="0"/>
              <w:rPr>
                <w:sz w:val="8"/>
                <w:szCs w:val="8"/>
                <w:color w:val="auto"/>
              </w:rPr>
            </w:pPr>
          </w:p>
        </w:tc>
        <w:tc>
          <w:tcPr>
            <w:tcW w:w="860" w:type="dxa"/>
            <w:vAlign w:val="bottom"/>
            <w:shd w:val="clear" w:color="auto" w:fill="C43776"/>
          </w:tcPr>
          <w:p>
            <w:pPr>
              <w:spacing w:after="0"/>
              <w:rPr>
                <w:sz w:val="8"/>
                <w:szCs w:val="8"/>
                <w:color w:val="auto"/>
              </w:rPr>
            </w:pPr>
          </w:p>
        </w:tc>
        <w:tc>
          <w:tcPr>
            <w:tcW w:w="74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c>
          <w:tcPr>
            <w:tcW w:w="740" w:type="dxa"/>
            <w:vAlign w:val="bottom"/>
            <w:shd w:val="clear" w:color="auto" w:fill="C43776"/>
          </w:tcPr>
          <w:p>
            <w:pPr>
              <w:spacing w:after="0"/>
              <w:rPr>
                <w:sz w:val="8"/>
                <w:szCs w:val="8"/>
                <w:color w:val="auto"/>
              </w:rPr>
            </w:pPr>
          </w:p>
        </w:tc>
        <w:tc>
          <w:tcPr>
            <w:tcW w:w="660" w:type="dxa"/>
            <w:vAlign w:val="bottom"/>
            <w:shd w:val="clear" w:color="auto" w:fill="C43776"/>
          </w:tcPr>
          <w:p>
            <w:pPr>
              <w:spacing w:after="0"/>
              <w:rPr>
                <w:sz w:val="8"/>
                <w:szCs w:val="8"/>
                <w:color w:val="auto"/>
              </w:rPr>
            </w:pPr>
          </w:p>
        </w:tc>
        <w:tc>
          <w:tcPr>
            <w:tcW w:w="80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c>
          <w:tcPr>
            <w:tcW w:w="96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r>
      <w:tr>
        <w:trPr>
          <w:trHeight w:val="202"/>
        </w:trPr>
        <w:tc>
          <w:tcPr>
            <w:tcW w:w="540" w:type="dxa"/>
            <w:vAlign w:val="bottom"/>
          </w:tcPr>
          <w:p>
            <w:pPr>
              <w:ind w:left="140"/>
              <w:spacing w:after="0"/>
              <w:rPr>
                <w:sz w:val="20"/>
                <w:szCs w:val="20"/>
                <w:color w:val="auto"/>
              </w:rPr>
            </w:pPr>
            <w:r>
              <w:rPr>
                <w:rFonts w:ascii="Arial" w:cs="Arial" w:eastAsia="Arial" w:hAnsi="Arial"/>
                <w:sz w:val="13"/>
                <w:szCs w:val="13"/>
                <w:color w:val="auto"/>
              </w:rPr>
              <w:t>U.S.</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&lt;700.7</w:t>
            </w:r>
          </w:p>
        </w:tc>
        <w:tc>
          <w:tcPr>
            <w:tcW w:w="860" w:type="dxa"/>
            <w:vAlign w:val="bottom"/>
          </w:tcPr>
          <w:p>
            <w:pPr>
              <w:jc w:val="center"/>
              <w:ind w:left="77"/>
              <w:spacing w:after="0"/>
              <w:rPr>
                <w:sz w:val="20"/>
                <w:szCs w:val="20"/>
                <w:color w:val="auto"/>
              </w:rPr>
            </w:pPr>
            <w:r>
              <w:rPr>
                <w:rFonts w:ascii="Arial" w:cs="Arial" w:eastAsia="Arial" w:hAnsi="Arial"/>
                <w:sz w:val="13"/>
                <w:szCs w:val="13"/>
                <w:color w:val="auto"/>
                <w:w w:val="98"/>
              </w:rPr>
              <w:t>700.7</w:t>
            </w:r>
          </w:p>
        </w:tc>
        <w:tc>
          <w:tcPr>
            <w:tcW w:w="740" w:type="dxa"/>
            <w:vAlign w:val="bottom"/>
          </w:tcPr>
          <w:p>
            <w:pPr>
              <w:jc w:val="center"/>
              <w:spacing w:after="0"/>
              <w:rPr>
                <w:sz w:val="20"/>
                <w:szCs w:val="20"/>
                <w:color w:val="auto"/>
              </w:rPr>
            </w:pPr>
            <w:r>
              <w:rPr>
                <w:rFonts w:ascii="Arial" w:cs="Arial" w:eastAsia="Arial" w:hAnsi="Arial"/>
                <w:sz w:val="13"/>
                <w:szCs w:val="13"/>
                <w:color w:val="auto"/>
                <w:w w:val="92"/>
              </w:rPr>
              <w:t>708.0</w:t>
            </w:r>
          </w:p>
        </w:tc>
        <w:tc>
          <w:tcPr>
            <w:tcW w:w="720" w:type="dxa"/>
            <w:vAlign w:val="bottom"/>
          </w:tcPr>
          <w:p>
            <w:pPr>
              <w:jc w:val="center"/>
              <w:spacing w:after="0"/>
              <w:rPr>
                <w:sz w:val="20"/>
                <w:szCs w:val="20"/>
                <w:color w:val="auto"/>
              </w:rPr>
            </w:pPr>
            <w:r>
              <w:rPr>
                <w:rFonts w:ascii="Arial" w:cs="Arial" w:eastAsia="Arial" w:hAnsi="Arial"/>
                <w:sz w:val="13"/>
                <w:szCs w:val="13"/>
                <w:color w:val="auto"/>
                <w:w w:val="92"/>
              </w:rPr>
              <w:t>715.2</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722.4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729.6</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736.8</w:t>
            </w:r>
          </w:p>
        </w:tc>
        <w:tc>
          <w:tcPr>
            <w:tcW w:w="1100" w:type="dxa"/>
            <w:vAlign w:val="bottom"/>
          </w:tcPr>
          <w:p>
            <w:pPr>
              <w:jc w:val="right"/>
              <w:ind w:right="137"/>
              <w:spacing w:after="0"/>
              <w:rPr>
                <w:sz w:val="20"/>
                <w:szCs w:val="20"/>
                <w:color w:val="auto"/>
              </w:rPr>
            </w:pPr>
            <w:r>
              <w:rPr>
                <w:rFonts w:ascii="Arial" w:cs="Arial" w:eastAsia="Arial" w:hAnsi="Arial"/>
                <w:sz w:val="13"/>
                <w:szCs w:val="13"/>
                <w:color w:val="auto"/>
              </w:rPr>
              <w:t>715.6</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853</w:t>
            </w:r>
          </w:p>
        </w:tc>
      </w:tr>
      <w:tr>
        <w:trPr>
          <w:trHeight w:val="55"/>
        </w:trPr>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6"/>
        </w:trPr>
        <w:tc>
          <w:tcPr>
            <w:tcW w:w="5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3"/>
                <w:szCs w:val="13"/>
                <w:color w:val="auto"/>
              </w:rPr>
              <w:t>Brazil</w:t>
            </w:r>
          </w:p>
        </w:tc>
        <w:tc>
          <w:tcPr>
            <w:tcW w:w="760" w:type="dxa"/>
            <w:vAlign w:val="bottom"/>
            <w:tcBorders>
              <w:bottom w:val="single" w:sz="8" w:color="F1F2F2"/>
            </w:tcBorders>
            <w:shd w:val="clear" w:color="auto" w:fill="F1F2F2"/>
          </w:tcPr>
          <w:p>
            <w:pPr>
              <w:jc w:val="right"/>
              <w:ind w:right="17"/>
              <w:spacing w:after="0"/>
              <w:rPr>
                <w:sz w:val="20"/>
                <w:szCs w:val="20"/>
                <w:color w:val="auto"/>
              </w:rPr>
            </w:pPr>
            <w:r>
              <w:rPr>
                <w:rFonts w:ascii="Arial" w:cs="Arial" w:eastAsia="Arial" w:hAnsi="Arial"/>
                <w:sz w:val="13"/>
                <w:szCs w:val="13"/>
                <w:color w:val="auto"/>
              </w:rPr>
              <w:t>&lt;658.1</w:t>
            </w:r>
          </w:p>
        </w:tc>
        <w:tc>
          <w:tcPr>
            <w:tcW w:w="860" w:type="dxa"/>
            <w:vAlign w:val="bottom"/>
            <w:tcBorders>
              <w:bottom w:val="single" w:sz="8" w:color="F1F2F2"/>
            </w:tcBorders>
            <w:shd w:val="clear" w:color="auto" w:fill="F1F2F2"/>
          </w:tcPr>
          <w:p>
            <w:pPr>
              <w:jc w:val="center"/>
              <w:ind w:left="77"/>
              <w:spacing w:after="0"/>
              <w:rPr>
                <w:sz w:val="20"/>
                <w:szCs w:val="20"/>
                <w:color w:val="auto"/>
              </w:rPr>
            </w:pPr>
            <w:r>
              <w:rPr>
                <w:rFonts w:ascii="Arial" w:cs="Arial" w:eastAsia="Arial" w:hAnsi="Arial"/>
                <w:sz w:val="13"/>
                <w:szCs w:val="13"/>
                <w:color w:val="auto"/>
                <w:w w:val="98"/>
              </w:rPr>
              <w:t>658.1</w:t>
            </w:r>
          </w:p>
        </w:tc>
        <w:tc>
          <w:tcPr>
            <w:tcW w:w="7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2"/>
              </w:rPr>
              <w:t>664.9</w:t>
            </w:r>
          </w:p>
        </w:tc>
        <w:tc>
          <w:tcPr>
            <w:tcW w:w="72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2"/>
              </w:rPr>
              <w:t>671.7</w:t>
            </w:r>
          </w:p>
        </w:tc>
        <w:tc>
          <w:tcPr>
            <w:tcW w:w="7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678.5</w:t>
            </w:r>
          </w:p>
        </w:tc>
        <w:tc>
          <w:tcPr>
            <w:tcW w:w="660" w:type="dxa"/>
            <w:vAlign w:val="bottom"/>
            <w:tcBorders>
              <w:bottom w:val="single" w:sz="8" w:color="F1F2F2"/>
            </w:tcBorders>
            <w:shd w:val="clear" w:color="auto" w:fill="F1F2F2"/>
          </w:tcPr>
          <w:p>
            <w:pPr>
              <w:jc w:val="right"/>
              <w:ind w:right="17"/>
              <w:spacing w:after="0"/>
              <w:rPr>
                <w:sz w:val="20"/>
                <w:szCs w:val="20"/>
                <w:color w:val="auto"/>
              </w:rPr>
            </w:pPr>
            <w:r>
              <w:rPr>
                <w:rFonts w:ascii="Arial" w:cs="Arial" w:eastAsia="Arial" w:hAnsi="Arial"/>
                <w:sz w:val="13"/>
                <w:szCs w:val="13"/>
                <w:color w:val="auto"/>
              </w:rPr>
              <w:t>685.3</w:t>
            </w:r>
          </w:p>
        </w:tc>
        <w:tc>
          <w:tcPr>
            <w:tcW w:w="80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692.1</w:t>
            </w:r>
          </w:p>
        </w:tc>
        <w:tc>
          <w:tcPr>
            <w:tcW w:w="110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671.2</w:t>
            </w:r>
          </w:p>
        </w:tc>
        <w:tc>
          <w:tcPr>
            <w:tcW w:w="96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73</w:t>
            </w:r>
          </w:p>
        </w:tc>
        <w:tc>
          <w:tcPr>
            <w:tcW w:w="110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813</w:t>
            </w:r>
          </w:p>
        </w:tc>
      </w:tr>
      <w:tr>
        <w:trPr>
          <w:trHeight w:val="20"/>
        </w:trPr>
        <w:tc>
          <w:tcPr>
            <w:tcW w:w="540" w:type="dxa"/>
            <w:vAlign w:val="bottom"/>
            <w:shd w:val="clear" w:color="auto" w:fill="C43776"/>
          </w:tcPr>
          <w:p>
            <w:pPr>
              <w:spacing w:after="0" w:line="20" w:lineRule="exact"/>
              <w:rPr>
                <w:sz w:val="1"/>
                <w:szCs w:val="1"/>
                <w:color w:val="auto"/>
              </w:rPr>
            </w:pPr>
          </w:p>
        </w:tc>
        <w:tc>
          <w:tcPr>
            <w:tcW w:w="760" w:type="dxa"/>
            <w:vAlign w:val="bottom"/>
            <w:shd w:val="clear" w:color="auto" w:fill="C43776"/>
          </w:tcPr>
          <w:p>
            <w:pPr>
              <w:spacing w:after="0" w:line="20" w:lineRule="exact"/>
              <w:rPr>
                <w:sz w:val="1"/>
                <w:szCs w:val="1"/>
                <w:color w:val="auto"/>
              </w:rPr>
            </w:pPr>
          </w:p>
        </w:tc>
        <w:tc>
          <w:tcPr>
            <w:tcW w:w="860" w:type="dxa"/>
            <w:vAlign w:val="bottom"/>
            <w:shd w:val="clear" w:color="auto" w:fill="C43776"/>
          </w:tcPr>
          <w:p>
            <w:pPr>
              <w:spacing w:after="0" w:line="20" w:lineRule="exact"/>
              <w:rPr>
                <w:sz w:val="1"/>
                <w:szCs w:val="1"/>
                <w:color w:val="auto"/>
              </w:rPr>
            </w:pPr>
          </w:p>
        </w:tc>
        <w:tc>
          <w:tcPr>
            <w:tcW w:w="740" w:type="dxa"/>
            <w:vAlign w:val="bottom"/>
            <w:shd w:val="clear" w:color="auto" w:fill="C43776"/>
          </w:tcPr>
          <w:p>
            <w:pPr>
              <w:spacing w:after="0" w:line="20" w:lineRule="exact"/>
              <w:rPr>
                <w:sz w:val="1"/>
                <w:szCs w:val="1"/>
                <w:color w:val="auto"/>
              </w:rPr>
            </w:pPr>
          </w:p>
        </w:tc>
        <w:tc>
          <w:tcPr>
            <w:tcW w:w="720" w:type="dxa"/>
            <w:vAlign w:val="bottom"/>
            <w:shd w:val="clear" w:color="auto" w:fill="C43776"/>
          </w:tcPr>
          <w:p>
            <w:pPr>
              <w:spacing w:after="0" w:line="20" w:lineRule="exact"/>
              <w:rPr>
                <w:sz w:val="1"/>
                <w:szCs w:val="1"/>
                <w:color w:val="auto"/>
              </w:rPr>
            </w:pPr>
          </w:p>
        </w:tc>
        <w:tc>
          <w:tcPr>
            <w:tcW w:w="740" w:type="dxa"/>
            <w:vAlign w:val="bottom"/>
            <w:shd w:val="clear" w:color="auto" w:fill="C43776"/>
          </w:tcPr>
          <w:p>
            <w:pPr>
              <w:spacing w:after="0" w:line="20" w:lineRule="exact"/>
              <w:rPr>
                <w:sz w:val="1"/>
                <w:szCs w:val="1"/>
                <w:color w:val="auto"/>
              </w:rPr>
            </w:pPr>
          </w:p>
        </w:tc>
        <w:tc>
          <w:tcPr>
            <w:tcW w:w="660" w:type="dxa"/>
            <w:vAlign w:val="bottom"/>
            <w:shd w:val="clear" w:color="auto" w:fill="C43776"/>
          </w:tcPr>
          <w:p>
            <w:pPr>
              <w:spacing w:after="0" w:line="20" w:lineRule="exact"/>
              <w:rPr>
                <w:sz w:val="1"/>
                <w:szCs w:val="1"/>
                <w:color w:val="auto"/>
              </w:rPr>
            </w:pPr>
          </w:p>
        </w:tc>
        <w:tc>
          <w:tcPr>
            <w:tcW w:w="800" w:type="dxa"/>
            <w:vAlign w:val="bottom"/>
            <w:shd w:val="clear" w:color="auto" w:fill="C43776"/>
          </w:tcPr>
          <w:p>
            <w:pPr>
              <w:spacing w:after="0" w:line="20" w:lineRule="exact"/>
              <w:rPr>
                <w:sz w:val="1"/>
                <w:szCs w:val="1"/>
                <w:color w:val="auto"/>
              </w:rPr>
            </w:pPr>
          </w:p>
        </w:tc>
        <w:tc>
          <w:tcPr>
            <w:tcW w:w="1100" w:type="dxa"/>
            <w:vAlign w:val="bottom"/>
            <w:shd w:val="clear" w:color="auto" w:fill="C43776"/>
          </w:tcPr>
          <w:p>
            <w:pPr>
              <w:spacing w:after="0" w:line="20" w:lineRule="exact"/>
              <w:rPr>
                <w:sz w:val="1"/>
                <w:szCs w:val="1"/>
                <w:color w:val="auto"/>
              </w:rPr>
            </w:pPr>
          </w:p>
        </w:tc>
        <w:tc>
          <w:tcPr>
            <w:tcW w:w="960" w:type="dxa"/>
            <w:vAlign w:val="bottom"/>
            <w:shd w:val="clear" w:color="auto" w:fill="C43776"/>
          </w:tcPr>
          <w:p>
            <w:pPr>
              <w:spacing w:after="0" w:line="20" w:lineRule="exact"/>
              <w:rPr>
                <w:sz w:val="1"/>
                <w:szCs w:val="1"/>
                <w:color w:val="auto"/>
              </w:rPr>
            </w:pPr>
          </w:p>
        </w:tc>
        <w:tc>
          <w:tcPr>
            <w:tcW w:w="1100" w:type="dxa"/>
            <w:vAlign w:val="bottom"/>
            <w:shd w:val="clear" w:color="auto" w:fill="C43776"/>
          </w:tcPr>
          <w:p>
            <w:pPr>
              <w:spacing w:after="0" w:line="20" w:lineRule="exact"/>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2"/>
          <w:szCs w:val="12"/>
          <w:i w:val="1"/>
          <w:iCs w:val="1"/>
          <w:color w:val="auto"/>
        </w:rPr>
      </w:pPr>
      <w:r>
        <w:rPr>
          <w:rFonts w:ascii="Arial" w:cs="Arial" w:eastAsia="Arial" w:hAnsi="Arial"/>
          <w:sz w:val="12"/>
          <w:szCs w:val="12"/>
          <w:i w:val="1"/>
          <w:iCs w:val="1"/>
          <w:color w:val="auto"/>
        </w:rPr>
        <w:t>U.S. and Brazil Vehicle Payments GAAP revenue was adjusted (a) to be consistent with the macro-economic environment assumed in the 2025 budget and</w:t>
      </w:r>
    </w:p>
    <w:p>
      <w:pPr>
        <w:spacing w:after="0" w:line="20" w:lineRule="exact"/>
        <w:rPr>
          <w:rFonts w:ascii="Arial" w:cs="Arial" w:eastAsia="Arial" w:hAnsi="Arial"/>
          <w:sz w:val="12"/>
          <w:szCs w:val="12"/>
          <w:i w:val="1"/>
          <w:iCs w:val="1"/>
          <w:color w:val="auto"/>
        </w:rPr>
      </w:pPr>
    </w:p>
    <w:p>
      <w:pPr>
        <w:ind w:left="340"/>
        <w:spacing w:after="0"/>
        <w:rPr>
          <w:rFonts w:ascii="Arial" w:cs="Arial" w:eastAsia="Arial" w:hAnsi="Arial"/>
          <w:sz w:val="12"/>
          <w:szCs w:val="12"/>
          <w:i w:val="1"/>
          <w:iCs w:val="1"/>
          <w:color w:val="auto"/>
        </w:rPr>
      </w:pPr>
      <w:r>
        <w:rPr>
          <w:rFonts w:ascii="Arial" w:cs="Arial" w:eastAsia="Arial" w:hAnsi="Arial"/>
          <w:sz w:val="13"/>
          <w:szCs w:val="13"/>
          <w:i w:val="1"/>
          <w:iCs w:val="1"/>
          <w:color w:val="auto"/>
        </w:rPr>
        <w:t>(b) for the impact of acquisitions and/or divestitures.</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Mr. Netto’s 2025 Long-Term Equity Incentive grant with a three-year performance period is earned based on revenue growth over that period and has a maximum potential payout value equal to 150%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39</w:t>
      </w:r>
    </w:p>
    <w:p>
      <w:pPr>
        <w:sectPr>
          <w:pgSz w:w="11900" w:h="16838" w:orient="portrait"/>
          <w:cols w:equalWidth="0" w:num="1">
            <w:col w:w="9080"/>
          </w:cols>
          <w:pgMar w:left="1400" w:top="729" w:right="1419" w:bottom="1440" w:gutter="0" w:footer="0" w:header="0"/>
          <w:type w:val="continuous"/>
        </w:sectPr>
      </w:pPr>
    </w:p>
    <w:bookmarkStart w:id="45" w:name="page46"/>
    <w:bookmarkEnd w:id="45"/>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C43776"/>
        </w:rPr>
        <w:t>Alan King: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Annual Equity Incentive</w:t>
      </w:r>
    </w:p>
    <w:p>
      <w:pPr>
        <w:spacing w:after="0" w:line="5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highlight w:val="white"/>
        </w:rPr>
        <w:t xml:space="preserve">Our Adjusted EPS-COMP for 2025 was </w:t>
      </w:r>
      <w:r>
        <w:rPr>
          <w:rFonts w:ascii="Arial" w:cs="Arial" w:eastAsia="Arial" w:hAnsi="Arial"/>
          <w:sz w:val="16"/>
          <w:szCs w:val="16"/>
          <w:color w:val="auto"/>
        </w:rPr>
        <w:t>$21.06 against a target of $21.07. The compensation committee therefore determined</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that the payout percentage was 98.8% based on the </w:t>
      </w:r>
      <w:r>
        <w:rPr>
          <w:rFonts w:ascii="Arial" w:cs="Arial" w:eastAsia="Arial" w:hAnsi="Arial"/>
          <w:sz w:val="16"/>
          <w:szCs w:val="16"/>
          <w:color w:val="auto"/>
          <w:highlight w:val="white"/>
        </w:rPr>
        <w:t>linear performance payout scale outlined earlier.</w:t>
      </w:r>
      <w:r>
        <w:rPr>
          <w:rFonts w:ascii="Arial" w:cs="Arial" w:eastAsia="Arial" w:hAnsi="Arial"/>
          <w:sz w:val="16"/>
          <w:szCs w:val="16"/>
          <w:color w:val="auto"/>
        </w:rPr>
        <w:t xml:space="preserve"> Mr. King’s Company Annual Equity Incentive was earned at 1,049 shares.</w:t>
      </w:r>
    </w:p>
    <w:p>
      <w:pPr>
        <w:sectPr>
          <w:pgSz w:w="11900" w:h="16838" w:orient="portrait"/>
          <w:cols w:equalWidth="0" w:num="1">
            <w:col w:w="9080"/>
          </w:cols>
          <w:pgMar w:left="1400" w:top="770" w:right="141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Bonus Equity Incentive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Mr. King’s 2025 Annual Bonus Equity Incentive Goals and Results are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 w:type="dxa"/>
            <w:vAlign w:val="bottom"/>
            <w:shd w:val="clear" w:color="auto" w:fill="C43776"/>
          </w:tcPr>
          <w:p>
            <w:pPr>
              <w:spacing w:after="0"/>
              <w:rPr>
                <w:sz w:val="18"/>
                <w:szCs w:val="18"/>
                <w:color w:val="auto"/>
              </w:rPr>
            </w:pPr>
          </w:p>
        </w:tc>
        <w:tc>
          <w:tcPr>
            <w:tcW w:w="400" w:type="dxa"/>
            <w:vAlign w:val="bottom"/>
            <w:shd w:val="clear" w:color="auto" w:fill="C43776"/>
          </w:tcPr>
          <w:p>
            <w:pPr>
              <w:spacing w:after="0"/>
              <w:rPr>
                <w:sz w:val="18"/>
                <w:szCs w:val="18"/>
                <w:color w:val="auto"/>
              </w:rPr>
            </w:pPr>
          </w:p>
        </w:tc>
        <w:tc>
          <w:tcPr>
            <w:tcW w:w="1180" w:type="dxa"/>
            <w:vAlign w:val="bottom"/>
            <w:shd w:val="clear" w:color="auto" w:fill="C43776"/>
          </w:tcPr>
          <w:p>
            <w:pPr>
              <w:spacing w:after="0"/>
              <w:rPr>
                <w:sz w:val="18"/>
                <w:szCs w:val="18"/>
                <w:color w:val="auto"/>
              </w:rPr>
            </w:pPr>
          </w:p>
        </w:tc>
        <w:tc>
          <w:tcPr>
            <w:tcW w:w="820" w:type="dxa"/>
            <w:vAlign w:val="bottom"/>
            <w:shd w:val="clear" w:color="auto" w:fill="C43776"/>
          </w:tcPr>
          <w:p>
            <w:pPr>
              <w:spacing w:after="0"/>
              <w:rPr>
                <w:sz w:val="18"/>
                <w:szCs w:val="18"/>
                <w:color w:val="auto"/>
              </w:rPr>
            </w:pPr>
          </w:p>
        </w:tc>
        <w:tc>
          <w:tcPr>
            <w:tcW w:w="840" w:type="dxa"/>
            <w:vAlign w:val="bottom"/>
            <w:shd w:val="clear" w:color="auto" w:fill="C43776"/>
          </w:tcPr>
          <w:p>
            <w:pPr>
              <w:spacing w:after="0"/>
              <w:rPr>
                <w:sz w:val="18"/>
                <w:szCs w:val="18"/>
                <w:color w:val="auto"/>
              </w:rPr>
            </w:pPr>
          </w:p>
        </w:tc>
        <w:tc>
          <w:tcPr>
            <w:tcW w:w="880" w:type="dxa"/>
            <w:vAlign w:val="bottom"/>
            <w:shd w:val="clear" w:color="auto" w:fill="C43776"/>
          </w:tcPr>
          <w:p>
            <w:pPr>
              <w:spacing w:after="0"/>
              <w:rPr>
                <w:sz w:val="18"/>
                <w:szCs w:val="18"/>
                <w:color w:val="auto"/>
              </w:rPr>
            </w:pPr>
          </w:p>
        </w:tc>
        <w:tc>
          <w:tcPr>
            <w:tcW w:w="660" w:type="dxa"/>
            <w:vAlign w:val="bottom"/>
            <w:shd w:val="clear" w:color="auto" w:fill="C43776"/>
          </w:tcPr>
          <w:p>
            <w:pPr>
              <w:spacing w:after="0"/>
              <w:rPr>
                <w:sz w:val="18"/>
                <w:szCs w:val="18"/>
                <w:color w:val="auto"/>
              </w:rPr>
            </w:pPr>
          </w:p>
        </w:tc>
        <w:tc>
          <w:tcPr>
            <w:tcW w:w="980" w:type="dxa"/>
            <w:vAlign w:val="bottom"/>
            <w:shd w:val="clear" w:color="auto" w:fill="C43776"/>
          </w:tcPr>
          <w:p>
            <w:pPr>
              <w:jc w:val="right"/>
              <w:ind w:right="373"/>
              <w:spacing w:after="0"/>
              <w:rPr>
                <w:sz w:val="20"/>
                <w:szCs w:val="20"/>
                <w:color w:val="auto"/>
              </w:rPr>
            </w:pPr>
            <w:r>
              <w:rPr>
                <w:rFonts w:ascii="Arial" w:cs="Arial" w:eastAsia="Arial" w:hAnsi="Arial"/>
                <w:sz w:val="13"/>
                <w:szCs w:val="13"/>
                <w:b w:val="1"/>
                <w:bCs w:val="1"/>
                <w:color w:val="FFFFFF"/>
              </w:rPr>
              <w:t>GOALS</w:t>
            </w:r>
          </w:p>
        </w:tc>
        <w:tc>
          <w:tcPr>
            <w:tcW w:w="520" w:type="dxa"/>
            <w:vAlign w:val="bottom"/>
            <w:shd w:val="clear" w:color="auto" w:fill="C43776"/>
          </w:tcPr>
          <w:p>
            <w:pPr>
              <w:spacing w:after="0"/>
              <w:rPr>
                <w:sz w:val="18"/>
                <w:szCs w:val="18"/>
                <w:color w:val="auto"/>
              </w:rPr>
            </w:pPr>
          </w:p>
        </w:tc>
        <w:tc>
          <w:tcPr>
            <w:tcW w:w="720" w:type="dxa"/>
            <w:vAlign w:val="bottom"/>
            <w:shd w:val="clear" w:color="auto" w:fill="C43776"/>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C43776"/>
          </w:tcPr>
          <w:p>
            <w:pPr>
              <w:spacing w:after="0"/>
              <w:rPr>
                <w:sz w:val="14"/>
                <w:szCs w:val="14"/>
                <w:color w:val="auto"/>
              </w:rPr>
            </w:pPr>
          </w:p>
        </w:tc>
        <w:tc>
          <w:tcPr>
            <w:tcW w:w="400" w:type="dxa"/>
            <w:vAlign w:val="bottom"/>
            <w:shd w:val="clear" w:color="auto" w:fill="C43776"/>
          </w:tcPr>
          <w:p>
            <w:pPr>
              <w:spacing w:after="0"/>
              <w:rPr>
                <w:sz w:val="14"/>
                <w:szCs w:val="14"/>
                <w:color w:val="auto"/>
              </w:rPr>
            </w:pPr>
          </w:p>
        </w:tc>
        <w:tc>
          <w:tcPr>
            <w:tcW w:w="1180" w:type="dxa"/>
            <w:vAlign w:val="bottom"/>
            <w:shd w:val="clear" w:color="auto" w:fill="C43776"/>
          </w:tcPr>
          <w:p>
            <w:pPr>
              <w:spacing w:after="0"/>
              <w:rPr>
                <w:sz w:val="14"/>
                <w:szCs w:val="14"/>
                <w:color w:val="auto"/>
              </w:rPr>
            </w:pPr>
          </w:p>
        </w:tc>
        <w:tc>
          <w:tcPr>
            <w:tcW w:w="820" w:type="dxa"/>
            <w:vAlign w:val="bottom"/>
            <w:shd w:val="clear" w:color="auto" w:fill="C43776"/>
          </w:tcPr>
          <w:p>
            <w:pPr>
              <w:spacing w:after="0"/>
              <w:rPr>
                <w:sz w:val="14"/>
                <w:szCs w:val="14"/>
                <w:color w:val="auto"/>
              </w:rPr>
            </w:pPr>
          </w:p>
        </w:tc>
        <w:tc>
          <w:tcPr>
            <w:tcW w:w="840" w:type="dxa"/>
            <w:vAlign w:val="bottom"/>
            <w:shd w:val="clear" w:color="auto" w:fill="C43776"/>
          </w:tcPr>
          <w:p>
            <w:pPr>
              <w:spacing w:after="0"/>
              <w:rPr>
                <w:sz w:val="14"/>
                <w:szCs w:val="14"/>
                <w:color w:val="auto"/>
              </w:rPr>
            </w:pPr>
          </w:p>
        </w:tc>
        <w:tc>
          <w:tcPr>
            <w:tcW w:w="880" w:type="dxa"/>
            <w:vAlign w:val="bottom"/>
            <w:shd w:val="clear" w:color="auto" w:fill="C43776"/>
          </w:tcPr>
          <w:p>
            <w:pPr>
              <w:spacing w:after="0"/>
              <w:rPr>
                <w:sz w:val="14"/>
                <w:szCs w:val="14"/>
                <w:color w:val="auto"/>
              </w:rPr>
            </w:pPr>
          </w:p>
        </w:tc>
        <w:tc>
          <w:tcPr>
            <w:tcW w:w="1640" w:type="dxa"/>
            <w:vAlign w:val="bottom"/>
            <w:gridSpan w:val="2"/>
            <w:shd w:val="clear" w:color="auto" w:fill="C43776"/>
          </w:tcPr>
          <w:p>
            <w:pPr>
              <w:jc w:val="right"/>
              <w:spacing w:after="0"/>
              <w:rPr>
                <w:sz w:val="20"/>
                <w:szCs w:val="20"/>
                <w:color w:val="auto"/>
              </w:rPr>
            </w:pPr>
            <w:r>
              <w:rPr>
                <w:rFonts w:ascii="Arial" w:cs="Arial" w:eastAsia="Arial" w:hAnsi="Arial"/>
                <w:sz w:val="13"/>
                <w:szCs w:val="13"/>
                <w:b w:val="1"/>
                <w:bCs w:val="1"/>
                <w:color w:val="FFFFFF"/>
              </w:rPr>
              <w:t>($ values in millions)</w:t>
            </w:r>
          </w:p>
        </w:tc>
        <w:tc>
          <w:tcPr>
            <w:tcW w:w="520" w:type="dxa"/>
            <w:vAlign w:val="bottom"/>
            <w:shd w:val="clear" w:color="auto" w:fill="C43776"/>
          </w:tcPr>
          <w:p>
            <w:pPr>
              <w:spacing w:after="0"/>
              <w:rPr>
                <w:sz w:val="14"/>
                <w:szCs w:val="14"/>
                <w:color w:val="auto"/>
              </w:rPr>
            </w:pPr>
          </w:p>
        </w:tc>
        <w:tc>
          <w:tcPr>
            <w:tcW w:w="720" w:type="dxa"/>
            <w:vAlign w:val="bottom"/>
            <w:shd w:val="clear" w:color="auto" w:fill="C43776"/>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00" w:type="dxa"/>
            <w:vAlign w:val="bottom"/>
            <w:shd w:val="clear" w:color="auto" w:fill="C43776"/>
          </w:tcPr>
          <w:p>
            <w:pPr>
              <w:spacing w:after="0"/>
              <w:rPr>
                <w:sz w:val="19"/>
                <w:szCs w:val="19"/>
                <w:color w:val="auto"/>
              </w:rPr>
            </w:pPr>
          </w:p>
        </w:tc>
        <w:tc>
          <w:tcPr>
            <w:tcW w:w="400" w:type="dxa"/>
            <w:vAlign w:val="bottom"/>
            <w:shd w:val="clear" w:color="auto" w:fill="C43776"/>
          </w:tcPr>
          <w:p>
            <w:pPr>
              <w:spacing w:after="0"/>
              <w:rPr>
                <w:sz w:val="19"/>
                <w:szCs w:val="19"/>
                <w:color w:val="auto"/>
              </w:rPr>
            </w:pPr>
          </w:p>
        </w:tc>
        <w:tc>
          <w:tcPr>
            <w:tcW w:w="1180" w:type="dxa"/>
            <w:vAlign w:val="bottom"/>
            <w:shd w:val="clear" w:color="auto" w:fill="C43776"/>
          </w:tcPr>
          <w:p>
            <w:pPr>
              <w:spacing w:after="0"/>
              <w:rPr>
                <w:sz w:val="19"/>
                <w:szCs w:val="19"/>
                <w:color w:val="auto"/>
              </w:rPr>
            </w:pPr>
          </w:p>
        </w:tc>
        <w:tc>
          <w:tcPr>
            <w:tcW w:w="820" w:type="dxa"/>
            <w:vAlign w:val="bottom"/>
            <w:shd w:val="clear" w:color="auto" w:fill="C43776"/>
          </w:tcPr>
          <w:p>
            <w:pPr>
              <w:spacing w:after="0"/>
              <w:rPr>
                <w:sz w:val="19"/>
                <w:szCs w:val="19"/>
                <w:color w:val="auto"/>
              </w:rPr>
            </w:pPr>
          </w:p>
        </w:tc>
        <w:tc>
          <w:tcPr>
            <w:tcW w:w="840" w:type="dxa"/>
            <w:vAlign w:val="bottom"/>
            <w:shd w:val="clear" w:color="auto" w:fill="C43776"/>
          </w:tcPr>
          <w:p>
            <w:pPr>
              <w:jc w:val="right"/>
              <w:ind w:right="13"/>
              <w:spacing w:after="0"/>
              <w:rPr>
                <w:sz w:val="20"/>
                <w:szCs w:val="20"/>
                <w:color w:val="auto"/>
              </w:rPr>
            </w:pPr>
            <w:r>
              <w:rPr>
                <w:rFonts w:ascii="Arial" w:cs="Arial" w:eastAsia="Arial" w:hAnsi="Arial"/>
                <w:sz w:val="13"/>
                <w:szCs w:val="13"/>
                <w:b w:val="1"/>
                <w:bCs w:val="1"/>
                <w:color w:val="FFFFFF"/>
              </w:rPr>
              <w:t>Target</w:t>
            </w:r>
          </w:p>
        </w:tc>
        <w:tc>
          <w:tcPr>
            <w:tcW w:w="880" w:type="dxa"/>
            <w:vAlign w:val="bottom"/>
            <w:shd w:val="clear" w:color="auto" w:fill="C43776"/>
          </w:tcPr>
          <w:p>
            <w:pPr>
              <w:spacing w:after="0"/>
              <w:rPr>
                <w:sz w:val="19"/>
                <w:szCs w:val="19"/>
                <w:color w:val="auto"/>
              </w:rPr>
            </w:pPr>
          </w:p>
        </w:tc>
        <w:tc>
          <w:tcPr>
            <w:tcW w:w="660" w:type="dxa"/>
            <w:vAlign w:val="bottom"/>
            <w:shd w:val="clear" w:color="auto" w:fill="C43776"/>
          </w:tcPr>
          <w:p>
            <w:pPr>
              <w:jc w:val="right"/>
              <w:ind w:right="34"/>
              <w:spacing w:after="0"/>
              <w:rPr>
                <w:sz w:val="20"/>
                <w:szCs w:val="20"/>
                <w:color w:val="auto"/>
              </w:rPr>
            </w:pPr>
            <w:r>
              <w:rPr>
                <w:rFonts w:ascii="Arial" w:cs="Arial" w:eastAsia="Arial" w:hAnsi="Arial"/>
                <w:sz w:val="13"/>
                <w:szCs w:val="13"/>
                <w:b w:val="1"/>
                <w:bCs w:val="1"/>
                <w:color w:val="FFFFFF"/>
              </w:rPr>
              <w:t>Below</w:t>
            </w:r>
          </w:p>
        </w:tc>
        <w:tc>
          <w:tcPr>
            <w:tcW w:w="980" w:type="dxa"/>
            <w:vAlign w:val="bottom"/>
            <w:shd w:val="clear" w:color="auto" w:fill="C43776"/>
          </w:tcPr>
          <w:p>
            <w:pPr>
              <w:spacing w:after="0"/>
              <w:rPr>
                <w:sz w:val="19"/>
                <w:szCs w:val="19"/>
                <w:color w:val="auto"/>
              </w:rPr>
            </w:pPr>
          </w:p>
        </w:tc>
        <w:tc>
          <w:tcPr>
            <w:tcW w:w="520" w:type="dxa"/>
            <w:vAlign w:val="bottom"/>
            <w:shd w:val="clear" w:color="auto" w:fill="C43776"/>
          </w:tcPr>
          <w:p>
            <w:pPr>
              <w:ind w:left="40"/>
              <w:spacing w:after="0"/>
              <w:rPr>
                <w:sz w:val="20"/>
                <w:szCs w:val="20"/>
                <w:color w:val="auto"/>
              </w:rPr>
            </w:pPr>
            <w:r>
              <w:rPr>
                <w:rFonts w:ascii="Arial" w:cs="Arial" w:eastAsia="Arial" w:hAnsi="Arial"/>
                <w:sz w:val="13"/>
                <w:szCs w:val="13"/>
                <w:b w:val="1"/>
                <w:bCs w:val="1"/>
                <w:color w:val="FFFFFF"/>
              </w:rPr>
              <w:t>Above</w:t>
            </w:r>
          </w:p>
        </w:tc>
        <w:tc>
          <w:tcPr>
            <w:tcW w:w="720" w:type="dxa"/>
            <w:vAlign w:val="bottom"/>
            <w:shd w:val="clear" w:color="auto" w:fill="C43776"/>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43776"/>
          </w:tcPr>
          <w:p>
            <w:pPr>
              <w:spacing w:after="0"/>
              <w:rPr>
                <w:sz w:val="14"/>
                <w:szCs w:val="14"/>
                <w:color w:val="auto"/>
              </w:rPr>
            </w:pPr>
          </w:p>
        </w:tc>
        <w:tc>
          <w:tcPr>
            <w:tcW w:w="400" w:type="dxa"/>
            <w:vAlign w:val="bottom"/>
            <w:shd w:val="clear" w:color="auto" w:fill="C43776"/>
          </w:tcPr>
          <w:p>
            <w:pPr>
              <w:spacing w:after="0"/>
              <w:rPr>
                <w:sz w:val="14"/>
                <w:szCs w:val="14"/>
                <w:color w:val="auto"/>
              </w:rPr>
            </w:pPr>
          </w:p>
        </w:tc>
        <w:tc>
          <w:tcPr>
            <w:tcW w:w="1180" w:type="dxa"/>
            <w:vAlign w:val="bottom"/>
            <w:shd w:val="clear" w:color="auto" w:fill="C43776"/>
          </w:tcPr>
          <w:p>
            <w:pPr>
              <w:spacing w:after="0"/>
              <w:rPr>
                <w:sz w:val="14"/>
                <w:szCs w:val="14"/>
                <w:color w:val="auto"/>
              </w:rPr>
            </w:pPr>
          </w:p>
        </w:tc>
        <w:tc>
          <w:tcPr>
            <w:tcW w:w="820" w:type="dxa"/>
            <w:vAlign w:val="bottom"/>
            <w:shd w:val="clear" w:color="auto" w:fill="C43776"/>
          </w:tcPr>
          <w:p>
            <w:pPr>
              <w:jc w:val="right"/>
              <w:ind w:right="53"/>
              <w:spacing w:after="0"/>
              <w:rPr>
                <w:sz w:val="20"/>
                <w:szCs w:val="20"/>
                <w:color w:val="auto"/>
              </w:rPr>
            </w:pPr>
            <w:r>
              <w:rPr>
                <w:rFonts w:ascii="Arial" w:cs="Arial" w:eastAsia="Arial" w:hAnsi="Arial"/>
                <w:sz w:val="13"/>
                <w:szCs w:val="13"/>
                <w:b w:val="1"/>
                <w:bCs w:val="1"/>
                <w:color w:val="FFFFFF"/>
              </w:rPr>
              <w:t>Weighting</w:t>
            </w:r>
          </w:p>
        </w:tc>
        <w:tc>
          <w:tcPr>
            <w:tcW w:w="840" w:type="dxa"/>
            <w:vAlign w:val="bottom"/>
            <w:shd w:val="clear" w:color="auto" w:fill="C43776"/>
          </w:tcPr>
          <w:p>
            <w:pPr>
              <w:jc w:val="right"/>
              <w:ind w:right="13"/>
              <w:spacing w:after="0"/>
              <w:rPr>
                <w:sz w:val="20"/>
                <w:szCs w:val="20"/>
                <w:color w:val="auto"/>
              </w:rPr>
            </w:pPr>
            <w:r>
              <w:rPr>
                <w:rFonts w:ascii="Arial" w:cs="Arial" w:eastAsia="Arial" w:hAnsi="Arial"/>
                <w:sz w:val="13"/>
                <w:szCs w:val="13"/>
                <w:b w:val="1"/>
                <w:bCs w:val="1"/>
                <w:color w:val="FFFFFF"/>
              </w:rPr>
              <w:t>($ values</w:t>
            </w:r>
          </w:p>
        </w:tc>
        <w:tc>
          <w:tcPr>
            <w:tcW w:w="880" w:type="dxa"/>
            <w:vAlign w:val="bottom"/>
            <w:shd w:val="clear" w:color="auto" w:fill="C43776"/>
          </w:tcPr>
          <w:p>
            <w:pPr>
              <w:jc w:val="right"/>
              <w:ind w:right="133"/>
              <w:spacing w:after="0"/>
              <w:rPr>
                <w:sz w:val="20"/>
                <w:szCs w:val="20"/>
                <w:color w:val="auto"/>
              </w:rPr>
            </w:pPr>
            <w:r>
              <w:rPr>
                <w:rFonts w:ascii="Arial" w:cs="Arial" w:eastAsia="Arial" w:hAnsi="Arial"/>
                <w:sz w:val="13"/>
                <w:szCs w:val="13"/>
                <w:b w:val="1"/>
                <w:bCs w:val="1"/>
                <w:color w:val="FFFFFF"/>
              </w:rPr>
              <w:t>Threshold</w:t>
            </w:r>
          </w:p>
        </w:tc>
        <w:tc>
          <w:tcPr>
            <w:tcW w:w="660" w:type="dxa"/>
            <w:vAlign w:val="bottom"/>
            <w:shd w:val="clear" w:color="auto" w:fill="C43776"/>
          </w:tcPr>
          <w:p>
            <w:pPr>
              <w:jc w:val="right"/>
              <w:ind w:right="34"/>
              <w:spacing w:after="0"/>
              <w:rPr>
                <w:sz w:val="20"/>
                <w:szCs w:val="20"/>
                <w:color w:val="auto"/>
              </w:rPr>
            </w:pPr>
            <w:r>
              <w:rPr>
                <w:rFonts w:ascii="Arial" w:cs="Arial" w:eastAsia="Arial" w:hAnsi="Arial"/>
                <w:sz w:val="13"/>
                <w:szCs w:val="13"/>
                <w:b w:val="1"/>
                <w:bCs w:val="1"/>
                <w:color w:val="FFFFFF"/>
              </w:rPr>
              <w:t>Target</w:t>
            </w:r>
          </w:p>
        </w:tc>
        <w:tc>
          <w:tcPr>
            <w:tcW w:w="980" w:type="dxa"/>
            <w:vAlign w:val="bottom"/>
            <w:shd w:val="clear" w:color="auto" w:fill="C43776"/>
          </w:tcPr>
          <w:p>
            <w:pPr>
              <w:jc w:val="right"/>
              <w:ind w:right="273"/>
              <w:spacing w:after="0"/>
              <w:rPr>
                <w:sz w:val="20"/>
                <w:szCs w:val="20"/>
                <w:color w:val="auto"/>
              </w:rPr>
            </w:pPr>
            <w:r>
              <w:rPr>
                <w:rFonts w:ascii="Arial" w:cs="Arial" w:eastAsia="Arial" w:hAnsi="Arial"/>
                <w:sz w:val="13"/>
                <w:szCs w:val="13"/>
                <w:b w:val="1"/>
                <w:bCs w:val="1"/>
                <w:color w:val="FFFFFF"/>
              </w:rPr>
              <w:t>Target</w:t>
            </w:r>
          </w:p>
        </w:tc>
        <w:tc>
          <w:tcPr>
            <w:tcW w:w="520" w:type="dxa"/>
            <w:vAlign w:val="bottom"/>
            <w:shd w:val="clear" w:color="auto" w:fill="C43776"/>
          </w:tcPr>
          <w:p>
            <w:pPr>
              <w:ind w:left="40"/>
              <w:spacing w:after="0"/>
              <w:rPr>
                <w:sz w:val="20"/>
                <w:szCs w:val="20"/>
                <w:color w:val="auto"/>
              </w:rPr>
            </w:pPr>
            <w:r>
              <w:rPr>
                <w:rFonts w:ascii="Arial" w:cs="Arial" w:eastAsia="Arial" w:hAnsi="Arial"/>
                <w:sz w:val="13"/>
                <w:szCs w:val="13"/>
                <w:b w:val="1"/>
                <w:bCs w:val="1"/>
                <w:color w:val="FFFFFF"/>
              </w:rPr>
              <w:t>Target</w:t>
            </w: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Maximum</w:t>
            </w:r>
          </w:p>
        </w:tc>
        <w:tc>
          <w:tcPr>
            <w:tcW w:w="0" w:type="dxa"/>
            <w:vAlign w:val="bottom"/>
          </w:tcPr>
          <w:p>
            <w:pPr>
              <w:spacing w:after="0"/>
              <w:rPr>
                <w:sz w:val="1"/>
                <w:szCs w:val="1"/>
                <w:color w:val="auto"/>
              </w:rPr>
            </w:pPr>
          </w:p>
        </w:tc>
      </w:tr>
      <w:tr>
        <w:trPr>
          <w:trHeight w:val="172"/>
        </w:trPr>
        <w:tc>
          <w:tcPr>
            <w:tcW w:w="100" w:type="dxa"/>
            <w:vAlign w:val="bottom"/>
            <w:shd w:val="clear" w:color="auto" w:fill="C43776"/>
          </w:tcPr>
          <w:p>
            <w:pPr>
              <w:spacing w:after="0"/>
              <w:rPr>
                <w:sz w:val="14"/>
                <w:szCs w:val="14"/>
                <w:color w:val="auto"/>
              </w:rPr>
            </w:pPr>
          </w:p>
        </w:tc>
        <w:tc>
          <w:tcPr>
            <w:tcW w:w="1580" w:type="dxa"/>
            <w:vAlign w:val="bottom"/>
            <w:gridSpan w:val="2"/>
            <w:shd w:val="clear" w:color="auto" w:fill="C43776"/>
          </w:tcPr>
          <w:p>
            <w:pPr>
              <w:ind w:left="40"/>
              <w:spacing w:after="0"/>
              <w:rPr>
                <w:sz w:val="20"/>
                <w:szCs w:val="20"/>
                <w:color w:val="auto"/>
              </w:rPr>
            </w:pPr>
            <w:r>
              <w:rPr>
                <w:rFonts w:ascii="Arial" w:cs="Arial" w:eastAsia="Arial" w:hAnsi="Arial"/>
                <w:sz w:val="13"/>
                <w:szCs w:val="13"/>
                <w:b w:val="1"/>
                <w:bCs w:val="1"/>
                <w:color w:val="FFFFFF"/>
              </w:rPr>
              <w:t>Performance Metric</w:t>
            </w:r>
          </w:p>
        </w:tc>
        <w:tc>
          <w:tcPr>
            <w:tcW w:w="820" w:type="dxa"/>
            <w:vAlign w:val="bottom"/>
            <w:shd w:val="clear" w:color="auto" w:fill="C43776"/>
          </w:tcPr>
          <w:p>
            <w:pPr>
              <w:jc w:val="right"/>
              <w:ind w:right="33"/>
              <w:spacing w:after="0"/>
              <w:rPr>
                <w:sz w:val="20"/>
                <w:szCs w:val="20"/>
                <w:color w:val="auto"/>
              </w:rPr>
            </w:pPr>
            <w:r>
              <w:rPr>
                <w:rFonts w:ascii="Arial" w:cs="Arial" w:eastAsia="Arial" w:hAnsi="Arial"/>
                <w:sz w:val="13"/>
                <w:szCs w:val="13"/>
                <w:b w:val="1"/>
                <w:bCs w:val="1"/>
                <w:color w:val="FFFFFF"/>
              </w:rPr>
              <w:t>   (%)</w:t>
            </w:r>
          </w:p>
        </w:tc>
        <w:tc>
          <w:tcPr>
            <w:tcW w:w="840" w:type="dxa"/>
            <w:vAlign w:val="bottom"/>
            <w:shd w:val="clear" w:color="auto" w:fill="C43776"/>
          </w:tcPr>
          <w:p>
            <w:pPr>
              <w:jc w:val="right"/>
              <w:ind w:right="13"/>
              <w:spacing w:after="0"/>
              <w:rPr>
                <w:sz w:val="20"/>
                <w:szCs w:val="20"/>
                <w:color w:val="auto"/>
              </w:rPr>
            </w:pPr>
            <w:r>
              <w:rPr>
                <w:rFonts w:ascii="Arial" w:cs="Arial" w:eastAsia="Arial" w:hAnsi="Arial"/>
                <w:sz w:val="13"/>
                <w:szCs w:val="13"/>
                <w:b w:val="1"/>
                <w:bCs w:val="1"/>
                <w:color w:val="FFFFFF"/>
              </w:rPr>
              <w:t>in millions)</w:t>
            </w:r>
          </w:p>
        </w:tc>
        <w:tc>
          <w:tcPr>
            <w:tcW w:w="880" w:type="dxa"/>
            <w:vAlign w:val="bottom"/>
            <w:shd w:val="clear" w:color="auto" w:fill="C43776"/>
          </w:tcPr>
          <w:p>
            <w:pPr>
              <w:jc w:val="right"/>
              <w:ind w:right="133"/>
              <w:spacing w:after="0"/>
              <w:rPr>
                <w:sz w:val="20"/>
                <w:szCs w:val="20"/>
                <w:color w:val="auto"/>
              </w:rPr>
            </w:pPr>
            <w:r>
              <w:rPr>
                <w:rFonts w:ascii="Arial" w:cs="Arial" w:eastAsia="Arial" w:hAnsi="Arial"/>
                <w:sz w:val="13"/>
                <w:szCs w:val="13"/>
                <w:b w:val="1"/>
                <w:bCs w:val="1"/>
                <w:color w:val="FFFFFF"/>
              </w:rPr>
              <w:t>(50%)</w:t>
            </w:r>
          </w:p>
        </w:tc>
        <w:tc>
          <w:tcPr>
            <w:tcW w:w="660" w:type="dxa"/>
            <w:vAlign w:val="bottom"/>
            <w:shd w:val="clear" w:color="auto" w:fill="C43776"/>
          </w:tcPr>
          <w:p>
            <w:pPr>
              <w:jc w:val="right"/>
              <w:ind w:right="34"/>
              <w:spacing w:after="0"/>
              <w:rPr>
                <w:sz w:val="20"/>
                <w:szCs w:val="20"/>
                <w:color w:val="auto"/>
              </w:rPr>
            </w:pPr>
            <w:r>
              <w:rPr>
                <w:rFonts w:ascii="Arial" w:cs="Arial" w:eastAsia="Arial" w:hAnsi="Arial"/>
                <w:sz w:val="13"/>
                <w:szCs w:val="13"/>
                <w:b w:val="1"/>
                <w:bCs w:val="1"/>
                <w:color w:val="FFFFFF"/>
              </w:rPr>
              <w:t>(75%)</w:t>
            </w:r>
          </w:p>
        </w:tc>
        <w:tc>
          <w:tcPr>
            <w:tcW w:w="980" w:type="dxa"/>
            <w:vAlign w:val="bottom"/>
            <w:shd w:val="clear" w:color="auto" w:fill="C43776"/>
          </w:tcPr>
          <w:p>
            <w:pPr>
              <w:jc w:val="right"/>
              <w:ind w:right="253"/>
              <w:spacing w:after="0"/>
              <w:rPr>
                <w:sz w:val="20"/>
                <w:szCs w:val="20"/>
                <w:color w:val="auto"/>
              </w:rPr>
            </w:pPr>
            <w:r>
              <w:rPr>
                <w:rFonts w:ascii="Arial" w:cs="Arial" w:eastAsia="Arial" w:hAnsi="Arial"/>
                <w:sz w:val="13"/>
                <w:szCs w:val="13"/>
                <w:b w:val="1"/>
                <w:bCs w:val="1"/>
                <w:color w:val="FFFFFF"/>
              </w:rPr>
              <w:t>(100%)</w:t>
            </w:r>
          </w:p>
        </w:tc>
        <w:tc>
          <w:tcPr>
            <w:tcW w:w="520" w:type="dxa"/>
            <w:vAlign w:val="bottom"/>
            <w:shd w:val="clear" w:color="auto" w:fill="C43776"/>
          </w:tcPr>
          <w:p>
            <w:pPr>
              <w:jc w:val="right"/>
              <w:ind w:right="13"/>
              <w:spacing w:after="0"/>
              <w:rPr>
                <w:sz w:val="20"/>
                <w:szCs w:val="20"/>
                <w:color w:val="auto"/>
              </w:rPr>
            </w:pPr>
            <w:r>
              <w:rPr>
                <w:rFonts w:ascii="Arial" w:cs="Arial" w:eastAsia="Arial" w:hAnsi="Arial"/>
                <w:sz w:val="13"/>
                <w:szCs w:val="13"/>
                <w:b w:val="1"/>
                <w:bCs w:val="1"/>
                <w:color w:val="FFFFFF"/>
              </w:rPr>
              <w:t>(125%)</w:t>
            </w:r>
          </w:p>
        </w:tc>
        <w:tc>
          <w:tcPr>
            <w:tcW w:w="7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(150%)</w:t>
            </w:r>
          </w:p>
        </w:tc>
        <w:tc>
          <w:tcPr>
            <w:tcW w:w="0" w:type="dxa"/>
            <w:vAlign w:val="bottom"/>
          </w:tcPr>
          <w:p>
            <w:pPr>
              <w:spacing w:after="0"/>
              <w:rPr>
                <w:sz w:val="1"/>
                <w:szCs w:val="1"/>
                <w:color w:val="auto"/>
              </w:rPr>
            </w:pPr>
          </w:p>
        </w:tc>
      </w:tr>
      <w:tr>
        <w:trPr>
          <w:trHeight w:val="89"/>
        </w:trPr>
        <w:tc>
          <w:tcPr>
            <w:tcW w:w="100" w:type="dxa"/>
            <w:vAlign w:val="bottom"/>
            <w:shd w:val="clear" w:color="auto" w:fill="C43776"/>
          </w:tcPr>
          <w:p>
            <w:pPr>
              <w:spacing w:after="0"/>
              <w:rPr>
                <w:sz w:val="7"/>
                <w:szCs w:val="7"/>
                <w:color w:val="auto"/>
              </w:rPr>
            </w:pPr>
          </w:p>
        </w:tc>
        <w:tc>
          <w:tcPr>
            <w:tcW w:w="400" w:type="dxa"/>
            <w:vAlign w:val="bottom"/>
            <w:shd w:val="clear" w:color="auto" w:fill="C43776"/>
          </w:tcPr>
          <w:p>
            <w:pPr>
              <w:spacing w:after="0"/>
              <w:rPr>
                <w:sz w:val="7"/>
                <w:szCs w:val="7"/>
                <w:color w:val="auto"/>
              </w:rPr>
            </w:pPr>
          </w:p>
        </w:tc>
        <w:tc>
          <w:tcPr>
            <w:tcW w:w="1180" w:type="dxa"/>
            <w:vAlign w:val="bottom"/>
            <w:shd w:val="clear" w:color="auto" w:fill="C43776"/>
          </w:tcPr>
          <w:p>
            <w:pPr>
              <w:spacing w:after="0"/>
              <w:rPr>
                <w:sz w:val="7"/>
                <w:szCs w:val="7"/>
                <w:color w:val="auto"/>
              </w:rPr>
            </w:pPr>
          </w:p>
        </w:tc>
        <w:tc>
          <w:tcPr>
            <w:tcW w:w="820" w:type="dxa"/>
            <w:vAlign w:val="bottom"/>
            <w:shd w:val="clear" w:color="auto" w:fill="C43776"/>
          </w:tcPr>
          <w:p>
            <w:pPr>
              <w:spacing w:after="0"/>
              <w:rPr>
                <w:sz w:val="7"/>
                <w:szCs w:val="7"/>
                <w:color w:val="auto"/>
              </w:rPr>
            </w:pPr>
          </w:p>
        </w:tc>
        <w:tc>
          <w:tcPr>
            <w:tcW w:w="840" w:type="dxa"/>
            <w:vAlign w:val="bottom"/>
            <w:shd w:val="clear" w:color="auto" w:fill="C43776"/>
          </w:tcPr>
          <w:p>
            <w:pPr>
              <w:spacing w:after="0"/>
              <w:rPr>
                <w:sz w:val="7"/>
                <w:szCs w:val="7"/>
                <w:color w:val="auto"/>
              </w:rPr>
            </w:pPr>
          </w:p>
        </w:tc>
        <w:tc>
          <w:tcPr>
            <w:tcW w:w="880" w:type="dxa"/>
            <w:vAlign w:val="bottom"/>
            <w:shd w:val="clear" w:color="auto" w:fill="C43776"/>
          </w:tcPr>
          <w:p>
            <w:pPr>
              <w:spacing w:after="0"/>
              <w:rPr>
                <w:sz w:val="7"/>
                <w:szCs w:val="7"/>
                <w:color w:val="auto"/>
              </w:rPr>
            </w:pPr>
          </w:p>
        </w:tc>
        <w:tc>
          <w:tcPr>
            <w:tcW w:w="660" w:type="dxa"/>
            <w:vAlign w:val="bottom"/>
            <w:shd w:val="clear" w:color="auto" w:fill="C43776"/>
          </w:tcPr>
          <w:p>
            <w:pPr>
              <w:spacing w:after="0"/>
              <w:rPr>
                <w:sz w:val="7"/>
                <w:szCs w:val="7"/>
                <w:color w:val="auto"/>
              </w:rPr>
            </w:pPr>
          </w:p>
        </w:tc>
        <w:tc>
          <w:tcPr>
            <w:tcW w:w="980" w:type="dxa"/>
            <w:vAlign w:val="bottom"/>
            <w:shd w:val="clear" w:color="auto" w:fill="C43776"/>
          </w:tcPr>
          <w:p>
            <w:pPr>
              <w:spacing w:after="0"/>
              <w:rPr>
                <w:sz w:val="7"/>
                <w:szCs w:val="7"/>
                <w:color w:val="auto"/>
              </w:rPr>
            </w:pPr>
          </w:p>
        </w:tc>
        <w:tc>
          <w:tcPr>
            <w:tcW w:w="520" w:type="dxa"/>
            <w:vAlign w:val="bottom"/>
            <w:shd w:val="clear" w:color="auto" w:fill="C43776"/>
          </w:tcPr>
          <w:p>
            <w:pPr>
              <w:spacing w:after="0"/>
              <w:rPr>
                <w:sz w:val="7"/>
                <w:szCs w:val="7"/>
                <w:color w:val="auto"/>
              </w:rPr>
            </w:pPr>
          </w:p>
        </w:tc>
        <w:tc>
          <w:tcPr>
            <w:tcW w:w="720" w:type="dxa"/>
            <w:vAlign w:val="bottom"/>
            <w:shd w:val="clear" w:color="auto" w:fill="C43776"/>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Arial" w:cs="Arial" w:eastAsia="Arial" w:hAnsi="Arial"/>
                <w:sz w:val="12"/>
                <w:szCs w:val="12"/>
                <w:color w:val="auto"/>
              </w:rPr>
              <w:t>International</w:t>
            </w: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20</w:t>
            </w:r>
          </w:p>
        </w:tc>
        <w:tc>
          <w:tcPr>
            <w:tcW w:w="840" w:type="dxa"/>
            <w:vAlign w:val="bottom"/>
            <w:vMerge w:val="restart"/>
          </w:tcPr>
          <w:p>
            <w:pPr>
              <w:jc w:val="right"/>
              <w:ind w:right="13"/>
              <w:spacing w:after="0"/>
              <w:rPr>
                <w:sz w:val="20"/>
                <w:szCs w:val="20"/>
                <w:color w:val="auto"/>
              </w:rPr>
            </w:pPr>
            <w:r>
              <w:rPr>
                <w:rFonts w:ascii="Arial" w:cs="Arial" w:eastAsia="Arial" w:hAnsi="Arial"/>
                <w:sz w:val="14"/>
                <w:szCs w:val="14"/>
                <w:color w:val="auto"/>
              </w:rPr>
              <w:t>104.1</w:t>
            </w: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color w:val="auto"/>
              </w:rPr>
              <w:t>93.7</w:t>
            </w: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color w:val="auto"/>
              </w:rPr>
              <w:t>98.9</w:t>
            </w: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color w:val="auto"/>
              </w:rPr>
              <w:t>104.1</w:t>
            </w:r>
          </w:p>
        </w:tc>
        <w:tc>
          <w:tcPr>
            <w:tcW w:w="520" w:type="dxa"/>
            <w:vAlign w:val="bottom"/>
            <w:vMerge w:val="restart"/>
          </w:tcPr>
          <w:p>
            <w:pPr>
              <w:jc w:val="right"/>
              <w:ind w:right="13"/>
              <w:spacing w:after="0"/>
              <w:rPr>
                <w:sz w:val="20"/>
                <w:szCs w:val="20"/>
                <w:color w:val="auto"/>
              </w:rPr>
            </w:pPr>
            <w:r>
              <w:rPr>
                <w:rFonts w:ascii="Arial" w:cs="Arial" w:eastAsia="Arial" w:hAnsi="Arial"/>
                <w:sz w:val="14"/>
                <w:szCs w:val="14"/>
                <w:color w:val="auto"/>
              </w:rPr>
              <w:t>109.3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color w:val="auto"/>
                <w:w w:val="96"/>
              </w:rPr>
              <w:t>Sales</w:t>
            </w:r>
          </w:p>
        </w:tc>
        <w:tc>
          <w:tcPr>
            <w:tcW w:w="1180" w:type="dxa"/>
            <w:vAlign w:val="bottom"/>
            <w:vMerge w:val="restart"/>
          </w:tcPr>
          <w:p>
            <w:pPr>
              <w:spacing w:after="0" w:line="189" w:lineRule="exact"/>
              <w:rPr>
                <w:sz w:val="20"/>
                <w:szCs w:val="20"/>
                <w:color w:val="auto"/>
              </w:rPr>
            </w:pPr>
            <w:r>
              <w:rPr>
                <w:rFonts w:ascii="Arial" w:cs="Arial" w:eastAsia="Arial" w:hAnsi="Arial"/>
                <w:sz w:val="18"/>
                <w:szCs w:val="18"/>
                <w:color w:val="auto"/>
                <w:w w:val="98"/>
                <w:vertAlign w:val="subscript"/>
              </w:rPr>
              <w:t>(1)</w:t>
            </w:r>
            <w:r>
              <w:rPr>
                <w:rFonts w:ascii="Arial" w:cs="Arial" w:eastAsia="Arial" w:hAnsi="Arial"/>
                <w:sz w:val="12"/>
                <w:szCs w:val="12"/>
                <w:color w:val="auto"/>
                <w:w w:val="98"/>
              </w:rPr>
              <w:t xml:space="preserve">  Vehicle Payments</w:t>
            </w: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180" w:type="dxa"/>
            <w:vAlign w:val="bottom"/>
            <w:vMerge w:val="restart"/>
          </w:tcPr>
          <w:p>
            <w:pPr>
              <w:ind w:left="240"/>
              <w:spacing w:after="0" w:line="135" w:lineRule="exact"/>
              <w:rPr>
                <w:sz w:val="20"/>
                <w:szCs w:val="20"/>
                <w:color w:val="auto"/>
              </w:rPr>
            </w:pPr>
            <w:r>
              <w:rPr>
                <w:rFonts w:ascii="Arial" w:cs="Arial" w:eastAsia="Arial" w:hAnsi="Arial"/>
                <w:sz w:val="12"/>
                <w:szCs w:val="12"/>
                <w:color w:val="auto"/>
              </w:rPr>
              <w:t>All Vehicle</w:t>
            </w: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20</w:t>
            </w:r>
          </w:p>
        </w:tc>
        <w:tc>
          <w:tcPr>
            <w:tcW w:w="840" w:type="dxa"/>
            <w:vAlign w:val="bottom"/>
            <w:vMerge w:val="restart"/>
          </w:tcPr>
          <w:p>
            <w:pPr>
              <w:jc w:val="right"/>
              <w:ind w:right="13"/>
              <w:spacing w:after="0"/>
              <w:rPr>
                <w:sz w:val="20"/>
                <w:szCs w:val="20"/>
                <w:color w:val="auto"/>
              </w:rPr>
            </w:pPr>
            <w:r>
              <w:rPr>
                <w:rFonts w:ascii="Arial" w:cs="Arial" w:eastAsia="Arial" w:hAnsi="Arial"/>
                <w:sz w:val="14"/>
                <w:szCs w:val="14"/>
                <w:color w:val="auto"/>
              </w:rPr>
              <w:t>404.9</w:t>
            </w: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color w:val="auto"/>
              </w:rPr>
              <w:t>364.4</w:t>
            </w: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color w:val="auto"/>
              </w:rPr>
              <w:t>384.7</w:t>
            </w: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color w:val="auto"/>
              </w:rPr>
              <w:t>404.9</w:t>
            </w:r>
          </w:p>
        </w:tc>
        <w:tc>
          <w:tcPr>
            <w:tcW w:w="520" w:type="dxa"/>
            <w:vAlign w:val="bottom"/>
            <w:vMerge w:val="restart"/>
          </w:tcPr>
          <w:p>
            <w:pPr>
              <w:jc w:val="right"/>
              <w:ind w:right="13"/>
              <w:spacing w:after="0"/>
              <w:rPr>
                <w:sz w:val="20"/>
                <w:szCs w:val="20"/>
                <w:color w:val="auto"/>
              </w:rPr>
            </w:pPr>
            <w:r>
              <w:rPr>
                <w:rFonts w:ascii="Arial" w:cs="Arial" w:eastAsia="Arial" w:hAnsi="Arial"/>
                <w:sz w:val="14"/>
                <w:szCs w:val="14"/>
                <w:color w:val="auto"/>
              </w:rPr>
              <w:t>425.1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vMerge w:val="restart"/>
          </w:tcPr>
          <w:p>
            <w:pPr>
              <w:ind w:left="240"/>
              <w:spacing w:after="0"/>
              <w:rPr>
                <w:sz w:val="20"/>
                <w:szCs w:val="20"/>
                <w:color w:val="auto"/>
              </w:rPr>
            </w:pPr>
            <w:r>
              <w:rPr>
                <w:rFonts w:ascii="Arial" w:cs="Arial" w:eastAsia="Arial" w:hAnsi="Arial"/>
                <w:sz w:val="12"/>
                <w:szCs w:val="12"/>
                <w:color w:val="auto"/>
              </w:rPr>
              <w:t>Payments</w:t>
            </w: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jc w:val="right"/>
              <w:spacing w:after="0"/>
              <w:rPr>
                <w:sz w:val="20"/>
                <w:szCs w:val="20"/>
                <w:color w:val="auto"/>
              </w:rPr>
            </w:pPr>
            <w:r>
              <w:rPr>
                <w:rFonts w:ascii="Arial" w:cs="Arial" w:eastAsia="Arial" w:hAnsi="Arial"/>
                <w:sz w:val="13"/>
                <w:szCs w:val="13"/>
                <w:b w:val="1"/>
                <w:bCs w:val="1"/>
                <w:color w:val="FFFFFF"/>
                <w:w w:val="93"/>
              </w:rPr>
              <w:t>Achievement</w:t>
            </w:r>
          </w:p>
        </w:tc>
        <w:tc>
          <w:tcPr>
            <w:tcW w:w="1000" w:type="dxa"/>
            <w:vAlign w:val="bottom"/>
          </w:tcPr>
          <w:p>
            <w:pPr>
              <w:jc w:val="right"/>
              <w:ind w:right="93"/>
              <w:spacing w:after="0"/>
              <w:rPr>
                <w:sz w:val="20"/>
                <w:szCs w:val="20"/>
                <w:color w:val="auto"/>
              </w:rPr>
            </w:pPr>
            <w:r>
              <w:rPr>
                <w:rFonts w:ascii="Arial" w:cs="Arial" w:eastAsia="Arial" w:hAnsi="Arial"/>
                <w:sz w:val="13"/>
                <w:szCs w:val="13"/>
                <w:b w:val="1"/>
                <w:bCs w:val="1"/>
                <w:color w:val="FFFFFF"/>
              </w:rPr>
              <w:t>Target</w:t>
            </w:r>
          </w:p>
        </w:tc>
      </w:tr>
      <w:tr>
        <w:trPr>
          <w:trHeight w:val="162"/>
        </w:trPr>
        <w:tc>
          <w:tcPr>
            <w:tcW w:w="820" w:type="dxa"/>
            <w:vAlign w:val="bottom"/>
          </w:tcPr>
          <w:p>
            <w:pPr>
              <w:jc w:val="right"/>
              <w:spacing w:after="0"/>
              <w:rPr>
                <w:sz w:val="20"/>
                <w:szCs w:val="20"/>
                <w:color w:val="auto"/>
              </w:rPr>
            </w:pPr>
            <w:r>
              <w:rPr>
                <w:rFonts w:ascii="Arial" w:cs="Arial" w:eastAsia="Arial" w:hAnsi="Arial"/>
                <w:sz w:val="13"/>
                <w:szCs w:val="13"/>
                <w:b w:val="1"/>
                <w:bCs w:val="1"/>
                <w:color w:val="FFFFFF"/>
              </w:rPr>
              <w:t>($ values in</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FFFFFF"/>
              </w:rPr>
              <w:t>Earned</w:t>
            </w:r>
          </w:p>
        </w:tc>
      </w:tr>
      <w:tr>
        <w:trPr>
          <w:trHeight w:val="153"/>
        </w:trPr>
        <w:tc>
          <w:tcPr>
            <w:tcW w:w="820" w:type="dxa"/>
            <w:vAlign w:val="bottom"/>
          </w:tcPr>
          <w:p>
            <w:pPr>
              <w:jc w:val="right"/>
              <w:spacing w:after="0"/>
              <w:rPr>
                <w:sz w:val="20"/>
                <w:szCs w:val="20"/>
                <w:color w:val="auto"/>
              </w:rPr>
            </w:pPr>
            <w:r>
              <w:rPr>
                <w:rFonts w:ascii="Arial" w:cs="Arial" w:eastAsia="Arial" w:hAnsi="Arial"/>
                <w:sz w:val="13"/>
                <w:szCs w:val="13"/>
                <w:b w:val="1"/>
                <w:bCs w:val="1"/>
                <w:color w:val="FFFFFF"/>
              </w:rPr>
              <w:t>millions)</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FFFFFF"/>
              </w:rPr>
              <w:t>(%)</w:t>
            </w:r>
          </w:p>
        </w:tc>
      </w:tr>
      <w:tr>
        <w:trPr>
          <w:trHeight w:val="94"/>
        </w:trPr>
        <w:tc>
          <w:tcPr>
            <w:tcW w:w="820" w:type="dxa"/>
            <w:vAlign w:val="bottom"/>
          </w:tcPr>
          <w:p>
            <w:pPr>
              <w:spacing w:after="0"/>
              <w:rPr>
                <w:sz w:val="8"/>
                <w:szCs w:val="8"/>
                <w:color w:val="auto"/>
              </w:rPr>
            </w:pPr>
          </w:p>
        </w:tc>
        <w:tc>
          <w:tcPr>
            <w:tcW w:w="1000" w:type="dxa"/>
            <w:vAlign w:val="bottom"/>
            <w:shd w:val="clear" w:color="auto" w:fill="C43776"/>
          </w:tcPr>
          <w:p>
            <w:pPr>
              <w:spacing w:after="0"/>
              <w:rPr>
                <w:sz w:val="8"/>
                <w:szCs w:val="8"/>
                <w:color w:val="auto"/>
              </w:rPr>
            </w:pPr>
          </w:p>
        </w:tc>
      </w:tr>
      <w:tr>
        <w:trPr>
          <w:trHeight w:val="275"/>
        </w:trPr>
        <w:tc>
          <w:tcPr>
            <w:tcW w:w="820" w:type="dxa"/>
            <w:vAlign w:val="bottom"/>
          </w:tcPr>
          <w:p>
            <w:pPr>
              <w:jc w:val="right"/>
              <w:spacing w:after="0"/>
              <w:rPr>
                <w:sz w:val="20"/>
                <w:szCs w:val="20"/>
                <w:color w:val="auto"/>
              </w:rPr>
            </w:pPr>
            <w:r>
              <w:rPr>
                <w:rFonts w:ascii="Arial" w:cs="Arial" w:eastAsia="Arial" w:hAnsi="Arial"/>
                <w:sz w:val="14"/>
                <w:szCs w:val="14"/>
                <w:color w:val="auto"/>
              </w:rPr>
              <w:t>102.6</w:t>
            </w:r>
          </w:p>
        </w:tc>
        <w:tc>
          <w:tcPr>
            <w:tcW w:w="1000" w:type="dxa"/>
            <w:vAlign w:val="bottom"/>
          </w:tcPr>
          <w:p>
            <w:pPr>
              <w:jc w:val="right"/>
              <w:ind w:right="93"/>
              <w:spacing w:after="0"/>
              <w:rPr>
                <w:sz w:val="20"/>
                <w:szCs w:val="20"/>
                <w:color w:val="auto"/>
              </w:rPr>
            </w:pPr>
            <w:r>
              <w:rPr>
                <w:rFonts w:ascii="Arial" w:cs="Arial" w:eastAsia="Arial" w:hAnsi="Arial"/>
                <w:sz w:val="14"/>
                <w:szCs w:val="14"/>
                <w:color w:val="auto"/>
              </w:rPr>
              <w:t>93</w:t>
            </w:r>
          </w:p>
        </w:tc>
      </w:tr>
      <w:tr>
        <w:trPr>
          <w:trHeight w:val="324"/>
        </w:trPr>
        <w:tc>
          <w:tcPr>
            <w:tcW w:w="820" w:type="dxa"/>
            <w:vAlign w:val="bottom"/>
          </w:tcPr>
          <w:p>
            <w:pPr>
              <w:jc w:val="right"/>
              <w:spacing w:after="0"/>
              <w:rPr>
                <w:sz w:val="20"/>
                <w:szCs w:val="20"/>
                <w:color w:val="auto"/>
              </w:rPr>
            </w:pPr>
            <w:r>
              <w:rPr>
                <w:rFonts w:ascii="Arial" w:cs="Arial" w:eastAsia="Arial" w:hAnsi="Arial"/>
                <w:sz w:val="14"/>
                <w:szCs w:val="14"/>
                <w:color w:val="auto"/>
              </w:rPr>
              <w:t>399.4</w:t>
            </w:r>
          </w:p>
        </w:tc>
        <w:tc>
          <w:tcPr>
            <w:tcW w:w="1000" w:type="dxa"/>
            <w:vAlign w:val="bottom"/>
          </w:tcPr>
          <w:p>
            <w:pPr>
              <w:jc w:val="right"/>
              <w:ind w:right="93"/>
              <w:spacing w:after="0"/>
              <w:rPr>
                <w:sz w:val="20"/>
                <w:szCs w:val="20"/>
                <w:color w:val="auto"/>
              </w:rPr>
            </w:pPr>
            <w:r>
              <w:rPr>
                <w:rFonts w:ascii="Arial" w:cs="Arial" w:eastAsia="Arial" w:hAnsi="Arial"/>
                <w:sz w:val="14"/>
                <w:szCs w:val="14"/>
                <w:color w:val="auto"/>
              </w:rPr>
              <w:t>93</w:t>
            </w:r>
          </w:p>
        </w:tc>
      </w:tr>
    </w:tbl>
    <w:p>
      <w:pPr>
        <w:spacing w:after="0" w:line="64" w:lineRule="exact"/>
        <w:rPr>
          <w:sz w:val="20"/>
          <w:szCs w:val="20"/>
          <w:color w:val="auto"/>
        </w:rPr>
      </w:pPr>
    </w:p>
    <w:p>
      <w:pPr>
        <w:sectPr>
          <w:pgSz w:w="11900" w:h="16838" w:orient="portrait"/>
          <w:cols w:equalWidth="0" w:num="2">
            <w:col w:w="7100" w:space="160"/>
            <w:col w:w="1820"/>
          </w:cols>
          <w:pgMar w:left="1400" w:top="770" w:right="14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880" w:type="dxa"/>
            <w:vAlign w:val="bottom"/>
            <w:shd w:val="clear" w:color="auto" w:fill="F1F2F2"/>
          </w:tcPr>
          <w:p>
            <w:pPr>
              <w:spacing w:after="0"/>
              <w:rPr>
                <w:sz w:val="15"/>
                <w:szCs w:val="15"/>
                <w:color w:val="auto"/>
              </w:rPr>
            </w:pPr>
          </w:p>
        </w:tc>
        <w:tc>
          <w:tcPr>
            <w:tcW w:w="600" w:type="dxa"/>
            <w:vAlign w:val="bottom"/>
            <w:shd w:val="clear" w:color="auto" w:fill="F1F2F2"/>
          </w:tcPr>
          <w:p>
            <w:pPr>
              <w:spacing w:after="0"/>
              <w:rPr>
                <w:sz w:val="15"/>
                <w:szCs w:val="15"/>
                <w:color w:val="auto"/>
              </w:rPr>
            </w:pPr>
          </w:p>
        </w:tc>
        <w:tc>
          <w:tcPr>
            <w:tcW w:w="1120" w:type="dxa"/>
            <w:vAlign w:val="bottom"/>
            <w:shd w:val="clear" w:color="auto" w:fill="F1F2F2"/>
          </w:tcPr>
          <w:p>
            <w:pPr>
              <w:jc w:val="right"/>
              <w:ind w:right="277"/>
              <w:spacing w:after="0"/>
              <w:rPr>
                <w:sz w:val="20"/>
                <w:szCs w:val="20"/>
                <w:color w:val="auto"/>
              </w:rPr>
            </w:pPr>
            <w:r>
              <w:rPr>
                <w:rFonts w:ascii="Arial" w:cs="Arial" w:eastAsia="Arial" w:hAnsi="Arial"/>
                <w:sz w:val="13"/>
                <w:szCs w:val="13"/>
                <w:color w:val="auto"/>
              </w:rPr>
              <w:t>At or below</w:t>
            </w:r>
          </w:p>
        </w:tc>
        <w:tc>
          <w:tcPr>
            <w:tcW w:w="540" w:type="dxa"/>
            <w:vAlign w:val="bottom"/>
            <w:shd w:val="clear" w:color="auto" w:fill="F1F2F2"/>
          </w:tcPr>
          <w:p>
            <w:pPr>
              <w:spacing w:after="0"/>
              <w:rPr>
                <w:sz w:val="15"/>
                <w:szCs w:val="15"/>
                <w:color w:val="auto"/>
              </w:rPr>
            </w:pPr>
          </w:p>
        </w:tc>
        <w:tc>
          <w:tcPr>
            <w:tcW w:w="740" w:type="dxa"/>
            <w:vAlign w:val="bottom"/>
            <w:shd w:val="clear" w:color="auto" w:fill="F1F2F2"/>
          </w:tcPr>
          <w:p>
            <w:pPr>
              <w:spacing w:after="0"/>
              <w:rPr>
                <w:sz w:val="15"/>
                <w:szCs w:val="15"/>
                <w:color w:val="auto"/>
              </w:rPr>
            </w:pPr>
          </w:p>
        </w:tc>
        <w:tc>
          <w:tcPr>
            <w:tcW w:w="960" w:type="dxa"/>
            <w:vAlign w:val="bottom"/>
            <w:shd w:val="clear" w:color="auto" w:fill="F1F2F2"/>
          </w:tcPr>
          <w:p>
            <w:pPr>
              <w:spacing w:after="0"/>
              <w:rPr>
                <w:sz w:val="15"/>
                <w:szCs w:val="15"/>
                <w:color w:val="auto"/>
              </w:rPr>
            </w:pPr>
          </w:p>
        </w:tc>
        <w:tc>
          <w:tcPr>
            <w:tcW w:w="560" w:type="dxa"/>
            <w:vAlign w:val="bottom"/>
            <w:shd w:val="clear" w:color="auto" w:fill="F1F2F2"/>
          </w:tcPr>
          <w:p>
            <w:pPr>
              <w:spacing w:after="0"/>
              <w:rPr>
                <w:sz w:val="15"/>
                <w:szCs w:val="15"/>
                <w:color w:val="auto"/>
              </w:rPr>
            </w:pPr>
          </w:p>
        </w:tc>
        <w:tc>
          <w:tcPr>
            <w:tcW w:w="840" w:type="dxa"/>
            <w:vAlign w:val="bottom"/>
            <w:shd w:val="clear" w:color="auto" w:fill="F1F2F2"/>
          </w:tcPr>
          <w:p>
            <w:pPr>
              <w:spacing w:after="0"/>
              <w:rPr>
                <w:sz w:val="15"/>
                <w:szCs w:val="15"/>
                <w:color w:val="auto"/>
              </w:rPr>
            </w:pPr>
          </w:p>
        </w:tc>
        <w:tc>
          <w:tcPr>
            <w:tcW w:w="1040" w:type="dxa"/>
            <w:vAlign w:val="bottom"/>
            <w:shd w:val="clear" w:color="auto" w:fill="F1F2F2"/>
          </w:tcPr>
          <w:p>
            <w:pPr>
              <w:spacing w:after="0"/>
              <w:rPr>
                <w:sz w:val="15"/>
                <w:szCs w:val="15"/>
                <w:color w:val="auto"/>
              </w:rPr>
            </w:pPr>
          </w:p>
        </w:tc>
        <w:tc>
          <w:tcPr>
            <w:tcW w:w="80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F1F2F2"/>
          </w:tcPr>
          <w:p>
            <w:pPr>
              <w:jc w:val="right"/>
              <w:ind w:right="296"/>
              <w:spacing w:after="0"/>
              <w:rPr>
                <w:sz w:val="20"/>
                <w:szCs w:val="20"/>
                <w:color w:val="auto"/>
              </w:rPr>
            </w:pPr>
            <w:r>
              <w:rPr>
                <w:rFonts w:ascii="Arial" w:cs="Arial" w:eastAsia="Arial" w:hAnsi="Arial"/>
                <w:sz w:val="9"/>
                <w:szCs w:val="9"/>
                <w:color w:val="auto"/>
              </w:rPr>
              <w:t>(1)</w:t>
            </w:r>
          </w:p>
        </w:tc>
        <w:tc>
          <w:tcPr>
            <w:tcW w:w="600" w:type="dxa"/>
            <w:vAlign w:val="bottom"/>
            <w:vMerge w:val="restart"/>
            <w:shd w:val="clear" w:color="auto" w:fill="F1F2F2"/>
          </w:tcPr>
          <w:p>
            <w:pPr>
              <w:jc w:val="right"/>
              <w:ind w:right="28"/>
              <w:spacing w:after="0"/>
              <w:rPr>
                <w:sz w:val="20"/>
                <w:szCs w:val="20"/>
                <w:color w:val="auto"/>
              </w:rPr>
            </w:pPr>
            <w:r>
              <w:rPr>
                <w:rFonts w:ascii="Arial" w:cs="Arial" w:eastAsia="Arial" w:hAnsi="Arial"/>
                <w:sz w:val="14"/>
                <w:szCs w:val="14"/>
                <w:color w:val="auto"/>
              </w:rPr>
              <w:t>20</w:t>
            </w:r>
          </w:p>
        </w:tc>
        <w:tc>
          <w:tcPr>
            <w:tcW w:w="1120" w:type="dxa"/>
            <w:vAlign w:val="bottom"/>
            <w:shd w:val="clear" w:color="auto" w:fill="F1F2F2"/>
          </w:tcPr>
          <w:p>
            <w:pPr>
              <w:jc w:val="right"/>
              <w:ind w:right="277"/>
              <w:spacing w:after="0"/>
              <w:rPr>
                <w:sz w:val="20"/>
                <w:szCs w:val="20"/>
                <w:color w:val="auto"/>
              </w:rPr>
            </w:pPr>
            <w:r>
              <w:rPr>
                <w:rFonts w:ascii="Arial" w:cs="Arial" w:eastAsia="Arial" w:hAnsi="Arial"/>
                <w:sz w:val="13"/>
                <w:szCs w:val="13"/>
                <w:color w:val="auto"/>
              </w:rPr>
              <w:t>plan in each</w:t>
            </w:r>
          </w:p>
        </w:tc>
        <w:tc>
          <w:tcPr>
            <w:tcW w:w="540" w:type="dxa"/>
            <w:vAlign w:val="bottom"/>
            <w:vMerge w:val="restart"/>
            <w:shd w:val="clear" w:color="auto" w:fill="F1F2F2"/>
          </w:tcPr>
          <w:p>
            <w:pPr>
              <w:ind w:left="28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F1F2F2"/>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shd w:val="clear" w:color="auto" w:fill="F1F2F2"/>
          </w:tcPr>
          <w:p>
            <w:pPr>
              <w:jc w:val="right"/>
              <w:ind w:right="197"/>
              <w:spacing w:after="0"/>
              <w:rPr>
                <w:sz w:val="20"/>
                <w:szCs w:val="20"/>
                <w:color w:val="auto"/>
              </w:rPr>
            </w:pPr>
            <w:r>
              <w:rPr>
                <w:rFonts w:ascii="Arial" w:cs="Arial" w:eastAsia="Arial" w:hAnsi="Arial"/>
                <w:sz w:val="13"/>
                <w:szCs w:val="13"/>
                <w:color w:val="auto"/>
              </w:rPr>
              <w:t>At or below</w:t>
            </w:r>
          </w:p>
        </w:tc>
        <w:tc>
          <w:tcPr>
            <w:tcW w:w="560" w:type="dxa"/>
            <w:vAlign w:val="bottom"/>
            <w:vMerge w:val="restart"/>
            <w:shd w:val="clear" w:color="auto" w:fill="F1F2F2"/>
          </w:tcPr>
          <w:p>
            <w:pPr>
              <w:ind w:left="32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F1F2F2"/>
          </w:tcPr>
          <w:p>
            <w:pPr>
              <w:jc w:val="right"/>
              <w:ind w:right="177"/>
              <w:spacing w:after="0"/>
              <w:rPr>
                <w:sz w:val="20"/>
                <w:szCs w:val="20"/>
                <w:color w:val="auto"/>
              </w:rPr>
            </w:pPr>
            <w:r>
              <w:rPr>
                <w:rFonts w:ascii="Arial" w:cs="Arial" w:eastAsia="Arial" w:hAnsi="Arial"/>
                <w:sz w:val="13"/>
                <w:szCs w:val="13"/>
                <w:color w:val="auto"/>
              </w:rPr>
              <w:t>Achieved 4</w:t>
            </w:r>
          </w:p>
        </w:tc>
        <w:tc>
          <w:tcPr>
            <w:tcW w:w="800" w:type="dxa"/>
            <w:vAlign w:val="bottom"/>
            <w:vMerge w:val="restart"/>
            <w:shd w:val="clear" w:color="auto" w:fill="F1F2F2"/>
          </w:tcPr>
          <w:p>
            <w:pPr>
              <w:jc w:val="right"/>
              <w:ind w:right="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4"/>
        </w:trPr>
        <w:tc>
          <w:tcPr>
            <w:tcW w:w="1880" w:type="dxa"/>
            <w:vAlign w:val="bottom"/>
            <w:shd w:val="clear" w:color="auto" w:fill="F1F2F2"/>
          </w:tcPr>
          <w:p>
            <w:pPr>
              <w:ind w:left="140"/>
              <w:spacing w:after="0" w:line="144" w:lineRule="exact"/>
              <w:rPr>
                <w:sz w:val="20"/>
                <w:szCs w:val="20"/>
                <w:color w:val="auto"/>
              </w:rPr>
            </w:pPr>
            <w:r>
              <w:rPr>
                <w:rFonts w:ascii="Arial" w:cs="Arial" w:eastAsia="Arial" w:hAnsi="Arial"/>
                <w:sz w:val="14"/>
                <w:szCs w:val="14"/>
                <w:color w:val="auto"/>
              </w:rPr>
              <w:t>Quarterly Expenses</w:t>
            </w:r>
          </w:p>
        </w:tc>
        <w:tc>
          <w:tcPr>
            <w:tcW w:w="600" w:type="dxa"/>
            <w:vAlign w:val="bottom"/>
            <w:vMerge w:val="continue"/>
            <w:shd w:val="clear" w:color="auto" w:fill="F1F2F2"/>
          </w:tcPr>
          <w:p>
            <w:pPr>
              <w:spacing w:after="0"/>
              <w:rPr>
                <w:sz w:val="12"/>
                <w:szCs w:val="12"/>
                <w:color w:val="auto"/>
              </w:rPr>
            </w:pPr>
          </w:p>
        </w:tc>
        <w:tc>
          <w:tcPr>
            <w:tcW w:w="1120" w:type="dxa"/>
            <w:vAlign w:val="bottom"/>
            <w:shd w:val="clear" w:color="auto" w:fill="F1F2F2"/>
          </w:tcPr>
          <w:p>
            <w:pPr>
              <w:jc w:val="right"/>
              <w:ind w:right="277"/>
              <w:spacing w:after="0" w:line="144" w:lineRule="exact"/>
              <w:rPr>
                <w:sz w:val="20"/>
                <w:szCs w:val="20"/>
                <w:color w:val="auto"/>
              </w:rPr>
            </w:pPr>
            <w:r>
              <w:rPr>
                <w:rFonts w:ascii="Arial" w:cs="Arial" w:eastAsia="Arial" w:hAnsi="Arial"/>
                <w:sz w:val="13"/>
                <w:szCs w:val="13"/>
                <w:color w:val="auto"/>
              </w:rPr>
              <w:t>respective</w:t>
            </w:r>
          </w:p>
        </w:tc>
        <w:tc>
          <w:tcPr>
            <w:tcW w:w="540" w:type="dxa"/>
            <w:vAlign w:val="bottom"/>
            <w:vMerge w:val="continue"/>
            <w:shd w:val="clear" w:color="auto" w:fill="F1F2F2"/>
          </w:tcPr>
          <w:p>
            <w:pPr>
              <w:spacing w:after="0"/>
              <w:rPr>
                <w:sz w:val="12"/>
                <w:szCs w:val="12"/>
                <w:color w:val="auto"/>
              </w:rPr>
            </w:pPr>
          </w:p>
        </w:tc>
        <w:tc>
          <w:tcPr>
            <w:tcW w:w="740" w:type="dxa"/>
            <w:vAlign w:val="bottom"/>
            <w:vMerge w:val="continue"/>
            <w:shd w:val="clear" w:color="auto" w:fill="F1F2F2"/>
          </w:tcPr>
          <w:p>
            <w:pPr>
              <w:spacing w:after="0"/>
              <w:rPr>
                <w:sz w:val="12"/>
                <w:szCs w:val="12"/>
                <w:color w:val="auto"/>
              </w:rPr>
            </w:pPr>
          </w:p>
        </w:tc>
        <w:tc>
          <w:tcPr>
            <w:tcW w:w="960" w:type="dxa"/>
            <w:vAlign w:val="bottom"/>
            <w:shd w:val="clear" w:color="auto" w:fill="F1F2F2"/>
          </w:tcPr>
          <w:p>
            <w:pPr>
              <w:jc w:val="right"/>
              <w:ind w:right="197"/>
              <w:spacing w:after="0" w:line="144" w:lineRule="exact"/>
              <w:rPr>
                <w:sz w:val="20"/>
                <w:szCs w:val="20"/>
                <w:color w:val="auto"/>
              </w:rPr>
            </w:pPr>
            <w:r>
              <w:rPr>
                <w:rFonts w:ascii="Arial" w:cs="Arial" w:eastAsia="Arial" w:hAnsi="Arial"/>
                <w:sz w:val="13"/>
                <w:szCs w:val="13"/>
                <w:color w:val="auto"/>
              </w:rPr>
              <w:t>plan</w:t>
            </w:r>
          </w:p>
        </w:tc>
        <w:tc>
          <w:tcPr>
            <w:tcW w:w="560" w:type="dxa"/>
            <w:vAlign w:val="bottom"/>
            <w:vMerge w:val="continue"/>
            <w:shd w:val="clear" w:color="auto" w:fill="F1F2F2"/>
          </w:tcPr>
          <w:p>
            <w:pPr>
              <w:spacing w:after="0"/>
              <w:rPr>
                <w:sz w:val="12"/>
                <w:szCs w:val="12"/>
                <w:color w:val="auto"/>
              </w:rPr>
            </w:pPr>
          </w:p>
        </w:tc>
        <w:tc>
          <w:tcPr>
            <w:tcW w:w="840" w:type="dxa"/>
            <w:vAlign w:val="bottom"/>
            <w:vMerge w:val="continue"/>
            <w:shd w:val="clear" w:color="auto" w:fill="F1F2F2"/>
          </w:tcPr>
          <w:p>
            <w:pPr>
              <w:spacing w:after="0"/>
              <w:rPr>
                <w:sz w:val="12"/>
                <w:szCs w:val="12"/>
                <w:color w:val="auto"/>
              </w:rPr>
            </w:pPr>
          </w:p>
        </w:tc>
        <w:tc>
          <w:tcPr>
            <w:tcW w:w="1040" w:type="dxa"/>
            <w:vAlign w:val="bottom"/>
            <w:vMerge w:val="continue"/>
            <w:shd w:val="clear" w:color="auto" w:fill="F1F2F2"/>
          </w:tcPr>
          <w:p>
            <w:pPr>
              <w:spacing w:after="0"/>
              <w:rPr>
                <w:sz w:val="12"/>
                <w:szCs w:val="12"/>
                <w:color w:val="auto"/>
              </w:rPr>
            </w:pPr>
          </w:p>
        </w:tc>
        <w:tc>
          <w:tcPr>
            <w:tcW w:w="800" w:type="dxa"/>
            <w:vAlign w:val="bottom"/>
            <w:vMerge w:val="continue"/>
            <w:shd w:val="clear" w:color="auto" w:fill="F1F2F2"/>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tcBorders>
              <w:bottom w:val="single" w:sz="8" w:color="F1F2F2"/>
            </w:tcBorders>
            <w:shd w:val="clear" w:color="auto" w:fill="F1F2F2"/>
          </w:tcPr>
          <w:p>
            <w:pPr>
              <w:spacing w:after="0"/>
              <w:rPr>
                <w:sz w:val="15"/>
                <w:szCs w:val="15"/>
                <w:color w:val="auto"/>
              </w:rPr>
            </w:pPr>
          </w:p>
        </w:tc>
        <w:tc>
          <w:tcPr>
            <w:tcW w:w="600" w:type="dxa"/>
            <w:vAlign w:val="bottom"/>
            <w:tcBorders>
              <w:bottom w:val="single" w:sz="8" w:color="F1F2F2"/>
            </w:tcBorders>
            <w:shd w:val="clear" w:color="auto" w:fill="F1F2F2"/>
          </w:tcPr>
          <w:p>
            <w:pPr>
              <w:spacing w:after="0"/>
              <w:rPr>
                <w:sz w:val="15"/>
                <w:szCs w:val="15"/>
                <w:color w:val="auto"/>
              </w:rPr>
            </w:pPr>
          </w:p>
        </w:tc>
        <w:tc>
          <w:tcPr>
            <w:tcW w:w="1120" w:type="dxa"/>
            <w:vAlign w:val="bottom"/>
            <w:tcBorders>
              <w:bottom w:val="single" w:sz="8" w:color="F1F2F2"/>
            </w:tcBorders>
            <w:shd w:val="clear" w:color="auto" w:fill="F1F2F2"/>
          </w:tcPr>
          <w:p>
            <w:pPr>
              <w:jc w:val="right"/>
              <w:ind w:right="277"/>
              <w:spacing w:after="0"/>
              <w:rPr>
                <w:sz w:val="20"/>
                <w:szCs w:val="20"/>
                <w:color w:val="auto"/>
              </w:rPr>
            </w:pPr>
            <w:r>
              <w:rPr>
                <w:rFonts w:ascii="Arial" w:cs="Arial" w:eastAsia="Arial" w:hAnsi="Arial"/>
                <w:sz w:val="13"/>
                <w:szCs w:val="13"/>
                <w:color w:val="auto"/>
              </w:rPr>
              <w:t>quarter</w:t>
            </w:r>
          </w:p>
        </w:tc>
        <w:tc>
          <w:tcPr>
            <w:tcW w:w="540" w:type="dxa"/>
            <w:vAlign w:val="bottom"/>
            <w:tcBorders>
              <w:bottom w:val="single" w:sz="8" w:color="F1F2F2"/>
            </w:tcBorders>
            <w:shd w:val="clear" w:color="auto" w:fill="F1F2F2"/>
          </w:tcPr>
          <w:p>
            <w:pPr>
              <w:spacing w:after="0"/>
              <w:rPr>
                <w:sz w:val="15"/>
                <w:szCs w:val="15"/>
                <w:color w:val="auto"/>
              </w:rPr>
            </w:pPr>
          </w:p>
        </w:tc>
        <w:tc>
          <w:tcPr>
            <w:tcW w:w="740" w:type="dxa"/>
            <w:vAlign w:val="bottom"/>
            <w:tcBorders>
              <w:bottom w:val="single" w:sz="8" w:color="F1F2F2"/>
            </w:tcBorders>
            <w:shd w:val="clear" w:color="auto" w:fill="F1F2F2"/>
          </w:tcPr>
          <w:p>
            <w:pPr>
              <w:spacing w:after="0"/>
              <w:rPr>
                <w:sz w:val="15"/>
                <w:szCs w:val="15"/>
                <w:color w:val="auto"/>
              </w:rPr>
            </w:pPr>
          </w:p>
        </w:tc>
        <w:tc>
          <w:tcPr>
            <w:tcW w:w="960" w:type="dxa"/>
            <w:vAlign w:val="bottom"/>
            <w:tcBorders>
              <w:bottom w:val="single" w:sz="8" w:color="F1F2F2"/>
            </w:tcBorders>
            <w:shd w:val="clear" w:color="auto" w:fill="F1F2F2"/>
          </w:tcPr>
          <w:p>
            <w:pPr>
              <w:spacing w:after="0"/>
              <w:rPr>
                <w:sz w:val="15"/>
                <w:szCs w:val="15"/>
                <w:color w:val="auto"/>
              </w:rPr>
            </w:pPr>
          </w:p>
        </w:tc>
        <w:tc>
          <w:tcPr>
            <w:tcW w:w="560" w:type="dxa"/>
            <w:vAlign w:val="bottom"/>
            <w:tcBorders>
              <w:bottom w:val="single" w:sz="8" w:color="F1F2F2"/>
            </w:tcBorders>
            <w:shd w:val="clear" w:color="auto" w:fill="F1F2F2"/>
          </w:tcPr>
          <w:p>
            <w:pPr>
              <w:spacing w:after="0"/>
              <w:rPr>
                <w:sz w:val="15"/>
                <w:szCs w:val="15"/>
                <w:color w:val="auto"/>
              </w:rPr>
            </w:pPr>
          </w:p>
        </w:tc>
        <w:tc>
          <w:tcPr>
            <w:tcW w:w="840" w:type="dxa"/>
            <w:vAlign w:val="bottom"/>
            <w:tcBorders>
              <w:bottom w:val="single" w:sz="8" w:color="F1F2F2"/>
            </w:tcBorders>
            <w:shd w:val="clear" w:color="auto" w:fill="F1F2F2"/>
          </w:tcPr>
          <w:p>
            <w:pPr>
              <w:spacing w:after="0"/>
              <w:rPr>
                <w:sz w:val="15"/>
                <w:szCs w:val="15"/>
                <w:color w:val="auto"/>
              </w:rPr>
            </w:pPr>
          </w:p>
        </w:tc>
        <w:tc>
          <w:tcPr>
            <w:tcW w:w="1040" w:type="dxa"/>
            <w:vAlign w:val="bottom"/>
            <w:tcBorders>
              <w:bottom w:val="single" w:sz="8" w:color="F1F2F2"/>
            </w:tcBorders>
            <w:shd w:val="clear" w:color="auto" w:fill="F1F2F2"/>
          </w:tcPr>
          <w:p>
            <w:pPr>
              <w:spacing w:after="0"/>
              <w:rPr>
                <w:sz w:val="15"/>
                <w:szCs w:val="15"/>
                <w:color w:val="auto"/>
              </w:rPr>
            </w:pPr>
          </w:p>
        </w:tc>
        <w:tc>
          <w:tcPr>
            <w:tcW w:w="800" w:type="dxa"/>
            <w:vAlign w:val="bottom"/>
            <w:tcBorders>
              <w:bottom w:val="single" w:sz="8" w:color="F1F2F2"/>
            </w:tcBorders>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140"/>
              <w:spacing w:after="0"/>
              <w:rPr>
                <w:sz w:val="20"/>
                <w:szCs w:val="20"/>
                <w:color w:val="auto"/>
              </w:rPr>
            </w:pPr>
            <w:r>
              <w:rPr>
                <w:rFonts w:ascii="Arial" w:cs="Arial" w:eastAsia="Arial" w:hAnsi="Arial"/>
                <w:sz w:val="14"/>
                <w:szCs w:val="14"/>
                <w:color w:val="auto"/>
              </w:rPr>
              <w:t>Key Projects</w:t>
            </w:r>
            <w:r>
              <w:rPr>
                <w:rFonts w:ascii="Arial" w:cs="Arial" w:eastAsia="Arial" w:hAnsi="Arial"/>
                <w:sz w:val="18"/>
                <w:szCs w:val="18"/>
                <w:color w:val="auto"/>
                <w:vertAlign w:val="superscript"/>
              </w:rPr>
              <w:t>(2)</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120" w:type="dxa"/>
            <w:vAlign w:val="bottom"/>
          </w:tcPr>
          <w:p>
            <w:pPr>
              <w:jc w:val="right"/>
              <w:ind w:right="237"/>
              <w:spacing w:after="0"/>
              <w:rPr>
                <w:sz w:val="20"/>
                <w:szCs w:val="20"/>
                <w:color w:val="auto"/>
              </w:rPr>
            </w:pPr>
            <w:r>
              <w:rPr>
                <w:rFonts w:ascii="Arial" w:cs="Arial" w:eastAsia="Arial" w:hAnsi="Arial"/>
                <w:sz w:val="13"/>
                <w:szCs w:val="13"/>
                <w:color w:val="auto"/>
              </w:rPr>
              <w:t>Achieve 2</w:t>
            </w:r>
          </w:p>
        </w:tc>
        <w:tc>
          <w:tcPr>
            <w:tcW w:w="540" w:type="dxa"/>
            <w:vAlign w:val="bottom"/>
          </w:tcPr>
          <w:p>
            <w:pPr>
              <w:ind w:left="2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Achieve 1</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Achieve 2</w:t>
            </w: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Achieved 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1"/>
        </w:trPr>
        <w:tc>
          <w:tcPr>
            <w:tcW w:w="1880" w:type="dxa"/>
            <w:vAlign w:val="bottom"/>
            <w:tcBorders>
              <w:bottom w:val="single" w:sz="8" w:color="C43776"/>
            </w:tcBorders>
          </w:tcPr>
          <w:p>
            <w:pPr>
              <w:spacing w:after="0"/>
              <w:rPr>
                <w:sz w:val="10"/>
                <w:szCs w:val="10"/>
                <w:color w:val="auto"/>
              </w:rPr>
            </w:pPr>
          </w:p>
        </w:tc>
        <w:tc>
          <w:tcPr>
            <w:tcW w:w="600" w:type="dxa"/>
            <w:vAlign w:val="bottom"/>
            <w:tcBorders>
              <w:bottom w:val="single" w:sz="8" w:color="C43776"/>
            </w:tcBorders>
          </w:tcPr>
          <w:p>
            <w:pPr>
              <w:spacing w:after="0"/>
              <w:rPr>
                <w:sz w:val="10"/>
                <w:szCs w:val="10"/>
                <w:color w:val="auto"/>
              </w:rPr>
            </w:pPr>
          </w:p>
        </w:tc>
        <w:tc>
          <w:tcPr>
            <w:tcW w:w="1120" w:type="dxa"/>
            <w:vAlign w:val="bottom"/>
            <w:tcBorders>
              <w:bottom w:val="single" w:sz="8" w:color="C43776"/>
            </w:tcBorders>
          </w:tcPr>
          <w:p>
            <w:pPr>
              <w:jc w:val="right"/>
              <w:ind w:right="237"/>
              <w:spacing w:after="0" w:line="122" w:lineRule="exact"/>
              <w:rPr>
                <w:sz w:val="20"/>
                <w:szCs w:val="20"/>
                <w:color w:val="auto"/>
              </w:rPr>
            </w:pPr>
            <w:r>
              <w:rPr>
                <w:rFonts w:ascii="Arial" w:cs="Arial" w:eastAsia="Arial" w:hAnsi="Arial"/>
                <w:sz w:val="13"/>
                <w:szCs w:val="13"/>
                <w:color w:val="auto"/>
              </w:rPr>
              <w:t>goals</w:t>
            </w:r>
          </w:p>
        </w:tc>
        <w:tc>
          <w:tcPr>
            <w:tcW w:w="540" w:type="dxa"/>
            <w:vAlign w:val="bottom"/>
            <w:tcBorders>
              <w:bottom w:val="single" w:sz="8" w:color="C43776"/>
            </w:tcBorders>
          </w:tcPr>
          <w:p>
            <w:pPr>
              <w:spacing w:after="0"/>
              <w:rPr>
                <w:sz w:val="10"/>
                <w:szCs w:val="10"/>
                <w:color w:val="auto"/>
              </w:rPr>
            </w:pPr>
          </w:p>
        </w:tc>
        <w:tc>
          <w:tcPr>
            <w:tcW w:w="740" w:type="dxa"/>
            <w:vAlign w:val="bottom"/>
            <w:tcBorders>
              <w:bottom w:val="single" w:sz="8" w:color="C43776"/>
            </w:tcBorders>
          </w:tcPr>
          <w:p>
            <w:pPr>
              <w:jc w:val="right"/>
              <w:spacing w:after="0" w:line="122" w:lineRule="exact"/>
              <w:rPr>
                <w:sz w:val="20"/>
                <w:szCs w:val="20"/>
                <w:color w:val="auto"/>
              </w:rPr>
            </w:pPr>
            <w:r>
              <w:rPr>
                <w:rFonts w:ascii="Arial" w:cs="Arial" w:eastAsia="Arial" w:hAnsi="Arial"/>
                <w:sz w:val="13"/>
                <w:szCs w:val="13"/>
                <w:color w:val="auto"/>
              </w:rPr>
              <w:t>goal</w:t>
            </w:r>
          </w:p>
        </w:tc>
        <w:tc>
          <w:tcPr>
            <w:tcW w:w="960" w:type="dxa"/>
            <w:vAlign w:val="bottom"/>
            <w:tcBorders>
              <w:bottom w:val="single" w:sz="8" w:color="C43776"/>
            </w:tcBorders>
          </w:tcPr>
          <w:p>
            <w:pPr>
              <w:spacing w:after="0"/>
              <w:rPr>
                <w:sz w:val="10"/>
                <w:szCs w:val="10"/>
                <w:color w:val="auto"/>
              </w:rPr>
            </w:pPr>
          </w:p>
        </w:tc>
        <w:tc>
          <w:tcPr>
            <w:tcW w:w="560" w:type="dxa"/>
            <w:vAlign w:val="bottom"/>
            <w:tcBorders>
              <w:bottom w:val="single" w:sz="8" w:color="C43776"/>
            </w:tcBorders>
          </w:tcPr>
          <w:p>
            <w:pPr>
              <w:spacing w:after="0"/>
              <w:rPr>
                <w:sz w:val="10"/>
                <w:szCs w:val="10"/>
                <w:color w:val="auto"/>
              </w:rPr>
            </w:pPr>
          </w:p>
        </w:tc>
        <w:tc>
          <w:tcPr>
            <w:tcW w:w="840" w:type="dxa"/>
            <w:vAlign w:val="bottom"/>
            <w:tcBorders>
              <w:bottom w:val="single" w:sz="8" w:color="C43776"/>
            </w:tcBorders>
          </w:tcPr>
          <w:p>
            <w:pPr>
              <w:jc w:val="right"/>
              <w:ind w:right="97"/>
              <w:spacing w:after="0" w:line="122" w:lineRule="exact"/>
              <w:rPr>
                <w:sz w:val="20"/>
                <w:szCs w:val="20"/>
                <w:color w:val="auto"/>
              </w:rPr>
            </w:pPr>
            <w:r>
              <w:rPr>
                <w:rFonts w:ascii="Arial" w:cs="Arial" w:eastAsia="Arial" w:hAnsi="Arial"/>
                <w:sz w:val="13"/>
                <w:szCs w:val="13"/>
                <w:color w:val="auto"/>
              </w:rPr>
              <w:t>goals</w:t>
            </w:r>
          </w:p>
        </w:tc>
        <w:tc>
          <w:tcPr>
            <w:tcW w:w="1040" w:type="dxa"/>
            <w:vAlign w:val="bottom"/>
            <w:tcBorders>
              <w:bottom w:val="single" w:sz="8" w:color="C43776"/>
            </w:tcBorders>
          </w:tcPr>
          <w:p>
            <w:pPr>
              <w:spacing w:after="0"/>
              <w:rPr>
                <w:sz w:val="10"/>
                <w:szCs w:val="10"/>
                <w:color w:val="auto"/>
              </w:rPr>
            </w:pPr>
          </w:p>
        </w:tc>
        <w:tc>
          <w:tcPr>
            <w:tcW w:w="800" w:type="dxa"/>
            <w:vAlign w:val="bottom"/>
            <w:tcBorders>
              <w:bottom w:val="single" w:sz="8" w:color="C43776"/>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gridSpan w:val="3"/>
          </w:tcPr>
          <w:p>
            <w:pPr>
              <w:jc w:val="right"/>
              <w:ind w:right="237"/>
              <w:spacing w:after="0"/>
              <w:rPr>
                <w:sz w:val="20"/>
                <w:szCs w:val="20"/>
                <w:color w:val="auto"/>
              </w:rPr>
            </w:pPr>
            <w:r>
              <w:rPr>
                <w:rFonts w:ascii="Arial" w:cs="Arial" w:eastAsia="Arial" w:hAnsi="Arial"/>
                <w:sz w:val="14"/>
                <w:szCs w:val="14"/>
                <w:b w:val="1"/>
                <w:bCs w:val="1"/>
                <w:color w:val="auto"/>
              </w:rPr>
              <w:t>Target Number of Shares</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1,193</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4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rPr>
              <w:t>Formulaic Earned Payout %</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57.2 %</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4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rPr>
              <w:t>Earned Number of Shares</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683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right="440" w:hanging="332"/>
        <w:spacing w:after="0" w:line="261" w:lineRule="auto"/>
        <w:tabs>
          <w:tab w:leader="none" w:pos="34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(a) to be consistent with the macro-economic environment assumed in the 2025 budget, (b) for addbacks and (c) for the pro-forma impact of acquisitions and/or divestitures.</w:t>
      </w:r>
    </w:p>
    <w:p>
      <w:pPr>
        <w:spacing w:after="0" w:line="25" w:lineRule="exact"/>
        <w:rPr>
          <w:rFonts w:ascii="Arial" w:cs="Arial" w:eastAsia="Arial" w:hAnsi="Arial"/>
          <w:sz w:val="13"/>
          <w:szCs w:val="13"/>
          <w:i w:val="1"/>
          <w:iCs w:val="1"/>
          <w:color w:val="auto"/>
        </w:rPr>
      </w:pPr>
    </w:p>
    <w:p>
      <w:pPr>
        <w:ind w:left="340" w:hanging="332"/>
        <w:spacing w:after="0"/>
        <w:tabs>
          <w:tab w:leader="none" w:pos="34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(a) Achieve 2025 U.K. payables revenue target (not achieved) and (b) sign 1 new Europe oil outsourcing contract (not achieved).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Equity Incentive</w:t>
      </w:r>
    </w:p>
    <w:p>
      <w:pPr>
        <w:spacing w:after="0" w:line="73"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Mr. King’s 2025 Long-Term Equity Incentive grant with a one-year performance period was earned based on achievement against a target goal of International Vehicle Payments GAAP revenue, as adjusted, of $702.8 million for 2025 (all dollar values in millions).</w:t>
      </w:r>
      <w:r>
        <w:rPr>
          <w:rFonts w:ascii="Arial" w:cs="Arial" w:eastAsia="Arial" w:hAnsi="Arial"/>
          <w:sz w:val="21"/>
          <w:szCs w:val="21"/>
          <w:color w:val="auto"/>
          <w:vertAlign w:val="superscript"/>
        </w:rPr>
        <w:t>(1)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Below</w:t>
            </w:r>
          </w:p>
        </w:tc>
        <w:tc>
          <w:tcPr>
            <w:tcW w:w="960" w:type="dxa"/>
            <w:vAlign w:val="bottom"/>
            <w:shd w:val="clear" w:color="auto" w:fill="C43776"/>
          </w:tcPr>
          <w:p>
            <w:pPr>
              <w:spacing w:after="0"/>
              <w:rPr>
                <w:sz w:val="23"/>
                <w:szCs w:val="23"/>
                <w:color w:val="auto"/>
              </w:rPr>
            </w:pPr>
          </w:p>
        </w:tc>
        <w:tc>
          <w:tcPr>
            <w:tcW w:w="82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Below</w:t>
            </w:r>
          </w:p>
        </w:tc>
        <w:tc>
          <w:tcPr>
            <w:tcW w:w="8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Below</w:t>
            </w:r>
          </w:p>
        </w:tc>
        <w:tc>
          <w:tcPr>
            <w:tcW w:w="800" w:type="dxa"/>
            <w:vAlign w:val="bottom"/>
            <w:shd w:val="clear" w:color="auto" w:fill="C43776"/>
          </w:tcPr>
          <w:p>
            <w:pPr>
              <w:spacing w:after="0"/>
              <w:rPr>
                <w:sz w:val="23"/>
                <w:szCs w:val="23"/>
                <w:color w:val="auto"/>
              </w:rPr>
            </w:pPr>
          </w:p>
        </w:tc>
        <w:tc>
          <w:tcPr>
            <w:tcW w:w="720" w:type="dxa"/>
            <w:vAlign w:val="bottom"/>
            <w:shd w:val="clear" w:color="auto" w:fill="C43776"/>
          </w:tcPr>
          <w:p>
            <w:pPr>
              <w:jc w:val="right"/>
              <w:ind w:right="37"/>
              <w:spacing w:after="0"/>
              <w:rPr>
                <w:sz w:val="20"/>
                <w:szCs w:val="20"/>
                <w:color w:val="auto"/>
              </w:rPr>
            </w:pPr>
            <w:r>
              <w:rPr>
                <w:rFonts w:ascii="Arial" w:cs="Arial" w:eastAsia="Arial" w:hAnsi="Arial"/>
                <w:sz w:val="13"/>
                <w:szCs w:val="13"/>
                <w:b w:val="1"/>
                <w:bCs w:val="1"/>
                <w:color w:val="FFFFFF"/>
              </w:rPr>
              <w:t>Above</w:t>
            </w:r>
          </w:p>
        </w:tc>
        <w:tc>
          <w:tcPr>
            <w:tcW w:w="840" w:type="dxa"/>
            <w:vAlign w:val="bottom"/>
            <w:shd w:val="clear" w:color="auto" w:fill="C43776"/>
          </w:tcPr>
          <w:p>
            <w:pPr>
              <w:spacing w:after="0"/>
              <w:rPr>
                <w:sz w:val="23"/>
                <w:szCs w:val="23"/>
                <w:color w:val="auto"/>
              </w:rPr>
            </w:pPr>
          </w:p>
        </w:tc>
        <w:tc>
          <w:tcPr>
            <w:tcW w:w="1100" w:type="dxa"/>
            <w:vAlign w:val="bottom"/>
            <w:shd w:val="clear" w:color="auto" w:fill="C43776"/>
          </w:tcPr>
          <w:p>
            <w:pPr>
              <w:spacing w:after="0"/>
              <w:rPr>
                <w:sz w:val="23"/>
                <w:szCs w:val="23"/>
                <w:color w:val="auto"/>
              </w:rPr>
            </w:pPr>
          </w:p>
        </w:tc>
        <w:tc>
          <w:tcPr>
            <w:tcW w:w="960" w:type="dxa"/>
            <w:vAlign w:val="bottom"/>
            <w:shd w:val="clear" w:color="auto" w:fill="C43776"/>
          </w:tcPr>
          <w:p>
            <w:pPr>
              <w:spacing w:after="0"/>
              <w:rPr>
                <w:sz w:val="23"/>
                <w:szCs w:val="23"/>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Performance-</w:t>
            </w:r>
          </w:p>
        </w:tc>
      </w:tr>
      <w:tr>
        <w:trPr>
          <w:trHeight w:val="149"/>
        </w:trPr>
        <w:tc>
          <w:tcPr>
            <w:tcW w:w="9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Threshold</w:t>
            </w:r>
          </w:p>
        </w:tc>
        <w:tc>
          <w:tcPr>
            <w:tcW w:w="96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Threshold</w:t>
            </w:r>
          </w:p>
        </w:tc>
        <w:tc>
          <w:tcPr>
            <w:tcW w:w="82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Target</w:t>
            </w:r>
          </w:p>
        </w:tc>
        <w:tc>
          <w:tcPr>
            <w:tcW w:w="72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Target</w:t>
            </w:r>
          </w:p>
        </w:tc>
        <w:tc>
          <w:tcPr>
            <w:tcW w:w="84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Maximum</w:t>
            </w:r>
          </w:p>
        </w:tc>
        <w:tc>
          <w:tcPr>
            <w:tcW w:w="1100" w:type="dxa"/>
            <w:vAlign w:val="bottom"/>
            <w:shd w:val="clear" w:color="auto" w:fill="C43776"/>
          </w:tcPr>
          <w:p>
            <w:pPr>
              <w:spacing w:after="0"/>
              <w:rPr>
                <w:sz w:val="12"/>
                <w:szCs w:val="12"/>
                <w:color w:val="auto"/>
              </w:rPr>
            </w:pPr>
          </w:p>
        </w:tc>
        <w:tc>
          <w:tcPr>
            <w:tcW w:w="960" w:type="dxa"/>
            <w:vAlign w:val="bottom"/>
            <w:shd w:val="clear" w:color="auto" w:fill="C43776"/>
          </w:tcPr>
          <w:p>
            <w:pPr>
              <w:spacing w:after="0"/>
              <w:rPr>
                <w:sz w:val="12"/>
                <w:szCs w:val="12"/>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Based Shares</w:t>
            </w:r>
          </w:p>
        </w:tc>
      </w:tr>
      <w:tr>
        <w:trPr>
          <w:trHeight w:val="148"/>
        </w:trPr>
        <w:tc>
          <w:tcPr>
            <w:tcW w:w="9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(0%)</w:t>
            </w:r>
          </w:p>
        </w:tc>
        <w:tc>
          <w:tcPr>
            <w:tcW w:w="96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(25%)</w:t>
            </w:r>
          </w:p>
        </w:tc>
        <w:tc>
          <w:tcPr>
            <w:tcW w:w="82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(50%)</w:t>
            </w:r>
          </w:p>
        </w:tc>
        <w:tc>
          <w:tcPr>
            <w:tcW w:w="8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(75%)</w:t>
            </w:r>
          </w:p>
        </w:tc>
        <w:tc>
          <w:tcPr>
            <w:tcW w:w="8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(100%)</w:t>
            </w:r>
          </w:p>
        </w:tc>
        <w:tc>
          <w:tcPr>
            <w:tcW w:w="720" w:type="dxa"/>
            <w:vAlign w:val="bottom"/>
            <w:shd w:val="clear" w:color="auto" w:fill="C43776"/>
          </w:tcPr>
          <w:p>
            <w:pPr>
              <w:jc w:val="right"/>
              <w:ind w:right="37"/>
              <w:spacing w:after="0"/>
              <w:rPr>
                <w:sz w:val="20"/>
                <w:szCs w:val="20"/>
                <w:color w:val="auto"/>
              </w:rPr>
            </w:pPr>
            <w:r>
              <w:rPr>
                <w:rFonts w:ascii="Arial" w:cs="Arial" w:eastAsia="Arial" w:hAnsi="Arial"/>
                <w:sz w:val="13"/>
                <w:szCs w:val="13"/>
                <w:b w:val="1"/>
                <w:bCs w:val="1"/>
                <w:color w:val="FFFFFF"/>
              </w:rPr>
              <w:t>(125%)</w:t>
            </w:r>
          </w:p>
        </w:tc>
        <w:tc>
          <w:tcPr>
            <w:tcW w:w="84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(150%)</w:t>
            </w:r>
          </w:p>
        </w:tc>
        <w:tc>
          <w:tcPr>
            <w:tcW w:w="11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Achievement</w:t>
            </w:r>
          </w:p>
        </w:tc>
        <w:tc>
          <w:tcPr>
            <w:tcW w:w="960" w:type="dxa"/>
            <w:vAlign w:val="bottom"/>
            <w:shd w:val="clear" w:color="auto" w:fill="C43776"/>
          </w:tcPr>
          <w:p>
            <w:pPr>
              <w:spacing w:after="0"/>
              <w:rPr>
                <w:sz w:val="12"/>
                <w:szCs w:val="12"/>
                <w:color w:val="auto"/>
              </w:rPr>
            </w:pP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Earned</w:t>
            </w:r>
          </w:p>
        </w:tc>
      </w:tr>
      <w:tr>
        <w:trPr>
          <w:trHeight w:val="172"/>
        </w:trPr>
        <w:tc>
          <w:tcPr>
            <w:tcW w:w="9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C43776"/>
          </w:tcPr>
          <w:p>
            <w:pPr>
              <w:jc w:val="right"/>
              <w:ind w:right="157"/>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C43776"/>
          </w:tcPr>
          <w:p>
            <w:pPr>
              <w:jc w:val="right"/>
              <w:ind w:right="3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C43776"/>
          </w:tcPr>
          <w:p>
            <w:pPr>
              <w:jc w:val="right"/>
              <w:ind w:right="137"/>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C43776"/>
          </w:tcPr>
          <w:p>
            <w:pPr>
              <w:jc w:val="right"/>
              <w:ind w:right="57"/>
              <w:spacing w:after="0"/>
              <w:rPr>
                <w:sz w:val="20"/>
                <w:szCs w:val="20"/>
                <w:color w:val="auto"/>
              </w:rPr>
            </w:pPr>
            <w:r>
              <w:rPr>
                <w:rFonts w:ascii="Arial" w:cs="Arial" w:eastAsia="Arial" w:hAnsi="Arial"/>
                <w:sz w:val="13"/>
                <w:szCs w:val="13"/>
                <w:b w:val="1"/>
                <w:bCs w:val="1"/>
                <w:color w:val="FFFFFF"/>
              </w:rPr>
              <w:t>Payout (%)</w:t>
            </w:r>
          </w:p>
        </w:tc>
        <w:tc>
          <w:tcPr>
            <w:tcW w:w="1100" w:type="dxa"/>
            <w:vAlign w:val="bottom"/>
            <w:shd w:val="clear" w:color="auto" w:fill="C43776"/>
          </w:tcPr>
          <w:p>
            <w:pPr>
              <w:jc w:val="right"/>
              <w:ind w:right="77"/>
              <w:spacing w:after="0"/>
              <w:rPr>
                <w:sz w:val="20"/>
                <w:szCs w:val="20"/>
                <w:color w:val="auto"/>
              </w:rPr>
            </w:pPr>
            <w:r>
              <w:rPr>
                <w:rFonts w:ascii="Arial" w:cs="Arial" w:eastAsia="Arial" w:hAnsi="Arial"/>
                <w:sz w:val="13"/>
                <w:szCs w:val="13"/>
                <w:b w:val="1"/>
                <w:bCs w:val="1"/>
                <w:color w:val="FFFFFF"/>
              </w:rPr>
              <w:t>(#)</w:t>
            </w:r>
          </w:p>
        </w:tc>
      </w:tr>
      <w:tr>
        <w:trPr>
          <w:trHeight w:val="103"/>
        </w:trPr>
        <w:tc>
          <w:tcPr>
            <w:tcW w:w="920" w:type="dxa"/>
            <w:vAlign w:val="bottom"/>
            <w:shd w:val="clear" w:color="auto" w:fill="C43776"/>
          </w:tcPr>
          <w:p>
            <w:pPr>
              <w:spacing w:after="0"/>
              <w:rPr>
                <w:sz w:val="8"/>
                <w:szCs w:val="8"/>
                <w:color w:val="auto"/>
              </w:rPr>
            </w:pPr>
          </w:p>
        </w:tc>
        <w:tc>
          <w:tcPr>
            <w:tcW w:w="960" w:type="dxa"/>
            <w:vAlign w:val="bottom"/>
            <w:shd w:val="clear" w:color="auto" w:fill="C43776"/>
          </w:tcPr>
          <w:p>
            <w:pPr>
              <w:spacing w:after="0"/>
              <w:rPr>
                <w:sz w:val="8"/>
                <w:szCs w:val="8"/>
                <w:color w:val="auto"/>
              </w:rPr>
            </w:pPr>
          </w:p>
        </w:tc>
        <w:tc>
          <w:tcPr>
            <w:tcW w:w="820" w:type="dxa"/>
            <w:vAlign w:val="bottom"/>
            <w:shd w:val="clear" w:color="auto" w:fill="C43776"/>
          </w:tcPr>
          <w:p>
            <w:pPr>
              <w:spacing w:after="0"/>
              <w:rPr>
                <w:sz w:val="8"/>
                <w:szCs w:val="8"/>
                <w:color w:val="auto"/>
              </w:rPr>
            </w:pPr>
          </w:p>
        </w:tc>
        <w:tc>
          <w:tcPr>
            <w:tcW w:w="800" w:type="dxa"/>
            <w:vAlign w:val="bottom"/>
            <w:shd w:val="clear" w:color="auto" w:fill="C43776"/>
          </w:tcPr>
          <w:p>
            <w:pPr>
              <w:spacing w:after="0"/>
              <w:rPr>
                <w:sz w:val="8"/>
                <w:szCs w:val="8"/>
                <w:color w:val="auto"/>
              </w:rPr>
            </w:pPr>
          </w:p>
        </w:tc>
        <w:tc>
          <w:tcPr>
            <w:tcW w:w="80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c>
          <w:tcPr>
            <w:tcW w:w="96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3"/>
                <w:szCs w:val="13"/>
                <w:color w:val="auto"/>
              </w:rPr>
              <w:t>&lt;681.7</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681.7</w:t>
            </w: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688.7</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695.8</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702.8</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709.8</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716.9</w:t>
            </w:r>
          </w:p>
        </w:tc>
        <w:tc>
          <w:tcPr>
            <w:tcW w:w="1100" w:type="dxa"/>
            <w:vAlign w:val="bottom"/>
          </w:tcPr>
          <w:p>
            <w:pPr>
              <w:jc w:val="right"/>
              <w:ind w:right="137"/>
              <w:spacing w:after="0"/>
              <w:rPr>
                <w:sz w:val="20"/>
                <w:szCs w:val="20"/>
                <w:color w:val="auto"/>
              </w:rPr>
            </w:pPr>
            <w:r>
              <w:rPr>
                <w:rFonts w:ascii="Arial" w:cs="Arial" w:eastAsia="Arial" w:hAnsi="Arial"/>
                <w:sz w:val="13"/>
                <w:szCs w:val="13"/>
                <w:color w:val="auto"/>
              </w:rPr>
              <w:t>699.1</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87</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1,289</w:t>
            </w:r>
          </w:p>
        </w:tc>
      </w:tr>
      <w:tr>
        <w:trPr>
          <w:trHeight w:val="55"/>
        </w:trPr>
        <w:tc>
          <w:tcPr>
            <w:tcW w:w="920" w:type="dxa"/>
            <w:vAlign w:val="bottom"/>
            <w:tcBorders>
              <w:bottom w:val="single" w:sz="8" w:color="C43776"/>
            </w:tcBorders>
          </w:tcPr>
          <w:p>
            <w:pPr>
              <w:spacing w:after="0"/>
              <w:rPr>
                <w:sz w:val="4"/>
                <w:szCs w:val="4"/>
                <w:color w:val="auto"/>
              </w:rPr>
            </w:pPr>
          </w:p>
        </w:tc>
        <w:tc>
          <w:tcPr>
            <w:tcW w:w="960" w:type="dxa"/>
            <w:vAlign w:val="bottom"/>
            <w:tcBorders>
              <w:bottom w:val="single" w:sz="8" w:color="C43776"/>
            </w:tcBorders>
          </w:tcPr>
          <w:p>
            <w:pPr>
              <w:spacing w:after="0"/>
              <w:rPr>
                <w:sz w:val="4"/>
                <w:szCs w:val="4"/>
                <w:color w:val="auto"/>
              </w:rPr>
            </w:pPr>
          </w:p>
        </w:tc>
        <w:tc>
          <w:tcPr>
            <w:tcW w:w="820" w:type="dxa"/>
            <w:vAlign w:val="bottom"/>
            <w:tcBorders>
              <w:bottom w:val="single" w:sz="8" w:color="C43776"/>
            </w:tcBorders>
          </w:tcPr>
          <w:p>
            <w:pPr>
              <w:spacing w:after="0"/>
              <w:rPr>
                <w:sz w:val="4"/>
                <w:szCs w:val="4"/>
                <w:color w:val="auto"/>
              </w:rPr>
            </w:pPr>
          </w:p>
        </w:tc>
        <w:tc>
          <w:tcPr>
            <w:tcW w:w="800" w:type="dxa"/>
            <w:vAlign w:val="bottom"/>
            <w:tcBorders>
              <w:bottom w:val="single" w:sz="8" w:color="C43776"/>
            </w:tcBorders>
          </w:tcPr>
          <w:p>
            <w:pPr>
              <w:spacing w:after="0"/>
              <w:rPr>
                <w:sz w:val="4"/>
                <w:szCs w:val="4"/>
                <w:color w:val="auto"/>
              </w:rPr>
            </w:pPr>
          </w:p>
        </w:tc>
        <w:tc>
          <w:tcPr>
            <w:tcW w:w="800" w:type="dxa"/>
            <w:vAlign w:val="bottom"/>
            <w:tcBorders>
              <w:bottom w:val="single" w:sz="8" w:color="C43776"/>
            </w:tcBorders>
          </w:tcPr>
          <w:p>
            <w:pPr>
              <w:spacing w:after="0"/>
              <w:rPr>
                <w:sz w:val="4"/>
                <w:szCs w:val="4"/>
                <w:color w:val="auto"/>
              </w:rPr>
            </w:pPr>
          </w:p>
        </w:tc>
        <w:tc>
          <w:tcPr>
            <w:tcW w:w="720" w:type="dxa"/>
            <w:vAlign w:val="bottom"/>
            <w:tcBorders>
              <w:bottom w:val="single" w:sz="8" w:color="C43776"/>
            </w:tcBorders>
          </w:tcPr>
          <w:p>
            <w:pPr>
              <w:spacing w:after="0"/>
              <w:rPr>
                <w:sz w:val="4"/>
                <w:szCs w:val="4"/>
                <w:color w:val="auto"/>
              </w:rPr>
            </w:pPr>
          </w:p>
        </w:tc>
        <w:tc>
          <w:tcPr>
            <w:tcW w:w="840" w:type="dxa"/>
            <w:vAlign w:val="bottom"/>
            <w:tcBorders>
              <w:bottom w:val="single" w:sz="8" w:color="C43776"/>
            </w:tcBorders>
          </w:tcPr>
          <w:p>
            <w:pPr>
              <w:spacing w:after="0"/>
              <w:rPr>
                <w:sz w:val="4"/>
                <w:szCs w:val="4"/>
                <w:color w:val="auto"/>
              </w:rPr>
            </w:pPr>
          </w:p>
        </w:tc>
        <w:tc>
          <w:tcPr>
            <w:tcW w:w="1100" w:type="dxa"/>
            <w:vAlign w:val="bottom"/>
            <w:tcBorders>
              <w:bottom w:val="single" w:sz="8" w:color="C43776"/>
            </w:tcBorders>
          </w:tcPr>
          <w:p>
            <w:pPr>
              <w:spacing w:after="0"/>
              <w:rPr>
                <w:sz w:val="4"/>
                <w:szCs w:val="4"/>
                <w:color w:val="auto"/>
              </w:rPr>
            </w:pPr>
          </w:p>
        </w:tc>
        <w:tc>
          <w:tcPr>
            <w:tcW w:w="960" w:type="dxa"/>
            <w:vAlign w:val="bottom"/>
            <w:tcBorders>
              <w:bottom w:val="single" w:sz="8" w:color="C43776"/>
            </w:tcBorders>
          </w:tcPr>
          <w:p>
            <w:pPr>
              <w:spacing w:after="0"/>
              <w:rPr>
                <w:sz w:val="4"/>
                <w:szCs w:val="4"/>
                <w:color w:val="auto"/>
              </w:rPr>
            </w:pPr>
          </w:p>
        </w:tc>
        <w:tc>
          <w:tcPr>
            <w:tcW w:w="1100" w:type="dxa"/>
            <w:vAlign w:val="bottom"/>
            <w:tcBorders>
              <w:bottom w:val="single" w:sz="8" w:color="C43776"/>
            </w:tcBorders>
          </w:tcPr>
          <w:p>
            <w:pPr>
              <w:spacing w:after="0"/>
              <w:rPr>
                <w:sz w:val="4"/>
                <w:szCs w:val="4"/>
                <w:color w:val="auto"/>
              </w:rPr>
            </w:pPr>
          </w:p>
        </w:tc>
      </w:tr>
    </w:tbl>
    <w:p>
      <w:pPr>
        <w:spacing w:after="0" w:line="106" w:lineRule="exact"/>
        <w:rPr>
          <w:sz w:val="20"/>
          <w:szCs w:val="20"/>
          <w:color w:val="auto"/>
        </w:rPr>
      </w:pPr>
    </w:p>
    <w:p>
      <w:pPr>
        <w:ind w:left="340" w:right="40" w:hanging="332"/>
        <w:spacing w:after="0" w:line="261" w:lineRule="auto"/>
        <w:tabs>
          <w:tab w:leader="none" w:pos="34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International Vehicle Payments GAAP revenue was adjusted (a) to be consistent with the macro-economic environment assumed in the 2025 budget and (b) for the impact of acquisitions and/or divestitures.</w:t>
      </w:r>
    </w:p>
    <w:p>
      <w:pPr>
        <w:spacing w:after="0" w:line="13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Mr. King’s 2025 Long-Term Equity Incentive grant with a three-year performance period is earned based on revenue growth over that period and has a maximum potential payout value equal to 150% of target.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5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Mr. King received a grant of performance-based Stock Options in 2021, which could be earned based on achievement against a combined regional revenue growth goal for 2022 to 2024. The goal was not achieved, and on June 18, 2025, the award was modified and a 50% payout was approved by the compensation committee as a result of Mr. King’s role transition that occurred during the performance period. As a result of the modification, Mr. King earned 15,000 options that vested on June 18, 2025. The likelihood of achieving the threshold performance level for this grant was considered improbable prior to the modification, which resulted in the incremental fair value reflected in the “2025 Summary Compensation Table” below.</w:t>
      </w:r>
    </w:p>
    <w:p>
      <w:pPr>
        <w:spacing w:after="0" w:line="13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Mr. King’s 2025 performance-based Stock Options grant is earned based on revenue and EBITDA growth for 2025 to 2027 (both must be achieved for any portion to be earned), and has a maximum potential payout value equal to 150% of target.</w:t>
      </w:r>
    </w:p>
    <w:p>
      <w:pPr>
        <w:spacing w:after="0" w:line="200" w:lineRule="exact"/>
        <w:rPr>
          <w:sz w:val="20"/>
          <w:szCs w:val="20"/>
          <w:color w:val="auto"/>
        </w:rPr>
      </w:pPr>
    </w:p>
    <w:p>
      <w:pPr>
        <w:spacing w:after="0" w:line="217"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40</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type w:val="continuous"/>
        </w:sectPr>
      </w:pPr>
    </w:p>
    <w:bookmarkStart w:id="46" w:name="page47"/>
    <w:bookmarkEnd w:id="46"/>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auto"/>
        </w:rPr>
        <w:t>Other Compensation and Benefits</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All U.S.-based salaried employees including NEOs may participate in a 401(k) plan. Our 401(k) plan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that we match 25% of an employee’s contribution, up to an employee contribution of 4% of salary. Our NEOs in the U.S. may participate in this 401(k) plan on the same basis as all of our other participating employees. We provide health benefits to all of our eligible employees and pay the premiums for these benefits on behalf of our NEOs. We provide to our NEOs life insurance benefits, long-term care insurance and concierge doctor services and also pay these premiums. We do not provide any nonqualified deferred compensation arrangements or defined benefit pension plans to our NEOs.</w:t>
      </w:r>
    </w:p>
    <w:p>
      <w:pPr>
        <w:spacing w:after="0" w:line="136"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In 2025, we provided relocation benefits, a housing allowance and an auto allowance to Mr. Netto and Mr. King in connection with their relocations to the U.S. We also provided Mr. Walker relocation benefits and legal fee reimbursements in connection with offer letter negotiation and execution. For more information, see the “2025 Summary Compensation Table” below.</w:t>
      </w:r>
    </w:p>
    <w:p>
      <w:pPr>
        <w:spacing w:after="0" w:line="110"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 xml:space="preserve">Employment Agreements and Offer Letters; Severance and Change-in-Control Benefits. </w:t>
      </w:r>
      <w:r>
        <w:rPr>
          <w:rFonts w:ascii="Arial" w:cs="Arial" w:eastAsia="Arial" w:hAnsi="Arial"/>
          <w:sz w:val="16"/>
          <w:szCs w:val="16"/>
          <w:color w:val="auto"/>
        </w:rPr>
        <w:t>We entered into an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our CEO in 2010. We have also entered into offer letter agreements with each of our other NEOs, other than Ms. Vickery. Pursuant to Mr. Clarke's agreement and, with respect to our other NEOs, our historical practice, in the case of an NEO's termination under specific circumstances, they will be entitled to certain severance payments.</w:t>
      </w:r>
    </w:p>
    <w:p>
      <w:pPr>
        <w:spacing w:after="0" w:line="13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These severance benefits are discussed below in “Potential Payments Upon Termination or Change in Control.” We provide severance compensation if certain NEOs are terminated without cause to attract and retain qualified executive talent, and, with respect to change in control benefits, to incentivize such NEOs to act in the best interests of our shareholders in the face of a transaction even if they may be terminated as a result.</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2023, after considering market practices, the compensation committee approved an increase to the severance compensation payable to our NEOs, other than Mr. Clarke, upon a termination without cause from six months of salary and benefits to one year of salary and benefits. The compensation committee also determined to amend the vesting conditions with respect to our equity compensation awards, other than Mr. Clarke’s, so that they will partially vest in connection with retirement, death, or disability, as discussed further below in “Potential Payments Upon Termination or Change in Control.” Such awards continue to be subject to “double trigger” change in control provisions.</w:t>
      </w:r>
    </w:p>
    <w:p>
      <w:pPr>
        <w:spacing w:after="0" w:line="108" w:lineRule="exact"/>
        <w:rPr>
          <w:sz w:val="20"/>
          <w:szCs w:val="20"/>
          <w:color w:val="auto"/>
        </w:rPr>
      </w:pPr>
    </w:p>
    <w:p>
      <w:pPr>
        <w:spacing w:after="0"/>
        <w:rPr>
          <w:sz w:val="20"/>
          <w:szCs w:val="20"/>
          <w:color w:val="auto"/>
        </w:rPr>
      </w:pPr>
      <w:r>
        <w:rPr>
          <w:rFonts w:ascii="Arial" w:cs="Arial" w:eastAsia="Arial" w:hAnsi="Arial"/>
          <w:sz w:val="32"/>
          <w:szCs w:val="32"/>
          <w:color w:val="C43776"/>
        </w:rPr>
        <w:t>Process to Review, Revise, and Set Compensation</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compensation committee is responsible for administering our executive compensation program and making decisions with respect to the compensation paid to our NEOs. In making such decisions, the compensation committee considers a variety of factors, including:</w:t>
      </w:r>
    </w:p>
    <w:p>
      <w:pPr>
        <w:spacing w:after="0" w:line="124" w:lineRule="exact"/>
        <w:rPr>
          <w:sz w:val="20"/>
          <w:szCs w:val="20"/>
          <w:color w:val="auto"/>
        </w:rPr>
      </w:pPr>
    </w:p>
    <w:p>
      <w:pPr>
        <w:ind w:left="340" w:hanging="251"/>
        <w:spacing w:after="0"/>
        <w:tabs>
          <w:tab w:leader="none" w:pos="340" w:val="left"/>
        </w:tabs>
        <w:numPr>
          <w:ilvl w:val="0"/>
          <w:numId w:val="47"/>
        </w:numPr>
        <w:rPr>
          <w:rFonts w:ascii="Arial" w:cs="Arial" w:eastAsia="Arial" w:hAnsi="Arial"/>
          <w:sz w:val="11"/>
          <w:szCs w:val="11"/>
          <w:color w:val="BE1549"/>
        </w:rPr>
      </w:pPr>
      <w:r>
        <w:rPr>
          <w:rFonts w:ascii="Arial" w:cs="Arial" w:eastAsia="Arial" w:hAnsi="Arial"/>
          <w:sz w:val="16"/>
          <w:szCs w:val="16"/>
          <w:color w:val="auto"/>
        </w:rPr>
        <w:t>The compensation committee’s evaluation of the competitive market, including referencing peer group data</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47"/>
        </w:numPr>
        <w:rPr>
          <w:rFonts w:ascii="Arial" w:cs="Arial" w:eastAsia="Arial" w:hAnsi="Arial"/>
          <w:sz w:val="11"/>
          <w:szCs w:val="11"/>
          <w:color w:val="BE1549"/>
        </w:rPr>
      </w:pPr>
      <w:r>
        <w:rPr>
          <w:rFonts w:ascii="Arial" w:cs="Arial" w:eastAsia="Arial" w:hAnsi="Arial"/>
          <w:sz w:val="16"/>
          <w:szCs w:val="16"/>
          <w:color w:val="auto"/>
        </w:rPr>
        <w:t>The feedback received from our shareholders and proxy advisory firms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47"/>
        </w:numPr>
        <w:rPr>
          <w:rFonts w:ascii="Arial" w:cs="Arial" w:eastAsia="Arial" w:hAnsi="Arial"/>
          <w:sz w:val="11"/>
          <w:szCs w:val="11"/>
          <w:color w:val="BE1549"/>
        </w:rPr>
      </w:pPr>
      <w:r>
        <w:rPr>
          <w:rFonts w:ascii="Arial" w:cs="Arial" w:eastAsia="Arial" w:hAnsi="Arial"/>
          <w:sz w:val="16"/>
          <w:szCs w:val="16"/>
          <w:color w:val="auto"/>
        </w:rPr>
        <w:t>The roles and responsibilities of our executives, including each executive’s impact on creating shareholder value</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47"/>
        </w:numPr>
        <w:rPr>
          <w:rFonts w:ascii="Arial" w:cs="Arial" w:eastAsia="Arial" w:hAnsi="Arial"/>
          <w:sz w:val="11"/>
          <w:szCs w:val="11"/>
          <w:color w:val="BE1549"/>
        </w:rPr>
      </w:pPr>
      <w:r>
        <w:rPr>
          <w:rFonts w:ascii="Arial" w:cs="Arial" w:eastAsia="Arial" w:hAnsi="Arial"/>
          <w:sz w:val="16"/>
          <w:szCs w:val="16"/>
          <w:color w:val="auto"/>
        </w:rPr>
        <w:t>The individual experience and skills of, and expected contributions from, our executives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47"/>
        </w:numPr>
        <w:rPr>
          <w:rFonts w:ascii="Arial" w:cs="Arial" w:eastAsia="Arial" w:hAnsi="Arial"/>
          <w:sz w:val="11"/>
          <w:szCs w:val="11"/>
          <w:color w:val="BE1549"/>
        </w:rPr>
      </w:pPr>
      <w:r>
        <w:rPr>
          <w:rFonts w:ascii="Arial" w:cs="Arial" w:eastAsia="Arial" w:hAnsi="Arial"/>
          <w:sz w:val="16"/>
          <w:szCs w:val="16"/>
          <w:color w:val="auto"/>
        </w:rPr>
        <w:t>Pay relative to other NEOs at the Company</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47"/>
        </w:numPr>
        <w:rPr>
          <w:rFonts w:ascii="Arial" w:cs="Arial" w:eastAsia="Arial" w:hAnsi="Arial"/>
          <w:sz w:val="11"/>
          <w:szCs w:val="11"/>
          <w:color w:val="BE1549"/>
        </w:rPr>
      </w:pPr>
      <w:r>
        <w:rPr>
          <w:rFonts w:ascii="Arial" w:cs="Arial" w:eastAsia="Arial" w:hAnsi="Arial"/>
          <w:sz w:val="16"/>
          <w:szCs w:val="16"/>
          <w:color w:val="auto"/>
        </w:rPr>
        <w:t>The individual performance of our executives during the year and the historical performance levels of our executives</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47"/>
        </w:numPr>
        <w:rPr>
          <w:rFonts w:ascii="Arial" w:cs="Arial" w:eastAsia="Arial" w:hAnsi="Arial"/>
          <w:sz w:val="11"/>
          <w:szCs w:val="11"/>
          <w:color w:val="BE1549"/>
        </w:rPr>
      </w:pPr>
      <w:r>
        <w:rPr>
          <w:rFonts w:ascii="Arial" w:cs="Arial" w:eastAsia="Arial" w:hAnsi="Arial"/>
          <w:sz w:val="16"/>
          <w:szCs w:val="16"/>
          <w:color w:val="auto"/>
        </w:rPr>
        <w:t>Our overall financial performance</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Role of Independent Compensation Consultant: </w:t>
      </w:r>
      <w:r>
        <w:rPr>
          <w:rFonts w:ascii="Arial" w:cs="Arial" w:eastAsia="Arial" w:hAnsi="Arial"/>
          <w:sz w:val="16"/>
          <w:szCs w:val="16"/>
          <w:color w:val="auto"/>
        </w:rPr>
        <w:t>All services performed by Exequity were conducted under the direction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of the compensation committee. The compensation committee has considered the required independence factors outlined by the SEC and NYSE rules in assessing the independence of Exequity. Consideration was also given by the compensation committee under those required independence factors, plus all other relevant factors, to whether the work performed by Exequity could give rise to a potential conflict of interest. Based on this review, the compensation committee did not identify any conflict of interest raised by the work performed by Exequity.</w:t>
      </w:r>
    </w:p>
    <w:p>
      <w:pPr>
        <w:spacing w:after="0" w:line="13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 xml:space="preserve">Role of Management: </w:t>
      </w:r>
      <w:r>
        <w:rPr>
          <w:rFonts w:ascii="Arial" w:cs="Arial" w:eastAsia="Arial" w:hAnsi="Arial"/>
          <w:sz w:val="16"/>
          <w:szCs w:val="16"/>
          <w:color w:val="auto"/>
        </w:rPr>
        <w:t>Our CEO provides substantial input to the compensation committee in reviewing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executive officers and making compensation recommendations for executive officers who report directly to him.</w:t>
      </w:r>
    </w:p>
    <w:p>
      <w:pPr>
        <w:spacing w:after="0" w:line="11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CEO does not participate in determining the amount of his own compensation. Decisions regarding the compensation of our CEO are made by the compensation committee in executive session, without the CEO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41</w:t>
      </w:r>
    </w:p>
    <w:p>
      <w:pPr>
        <w:sectPr>
          <w:pgSz w:w="11900" w:h="16838" w:orient="portrait"/>
          <w:cols w:equalWidth="0" w:num="1">
            <w:col w:w="9080"/>
          </w:cols>
          <w:pgMar w:left="1400" w:top="729" w:right="1419" w:bottom="1440" w:gutter="0" w:footer="0" w:header="0"/>
        </w:sectPr>
      </w:pPr>
    </w:p>
    <w:bookmarkStart w:id="47" w:name="page48"/>
    <w:bookmarkEnd w:id="47"/>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Compensation Peer Group</w:t>
      </w:r>
    </w:p>
    <w:p>
      <w:pPr>
        <w:spacing w:after="0" w:line="15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considered the compensation levels, programs and practices of industry peer companies in setting compensation for our NEOs by considering market competitiveness and the goal of motivating our executives to appropriately drive corporate performance. The compensation committee periodically reviews and updates the list of companies comprising the peer group to provide an appropriate marketplace focus.</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compensation committee evaluates multiple criteria in determining the appropriate peer group, including industry, revenue, market capitalization, competitors to our various lines of business, business models and profitability. The compensation committee determined that it was appropriate to continue to use the same peer group as in the prior year for purposes of 2025 compensation decisions for our NEOs.</w:t>
      </w:r>
    </w:p>
    <w:p>
      <w:pPr>
        <w:spacing w:after="0" w:line="11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compensation committee referred to the 2025 Industry Peer Group (as defined below) in setting compensation for 2025 for our NEOs. Generally, the compensation committee references cash-based compensation at or below market levels and equity-based compensation (based on target levels) at or above market levels, resulting in total annualized target compensation generally at or above the peer median for our CEO and generally below the peer median for our other NEOs.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 compensation. Comparisons to the peer group for purposes of this Proxy Statement are based on an adjustment of the peer group compensation data by the Company to account for the passage of time.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illustrates the peer group used for purposes of 2025 compensation decisions for our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54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2025 Industry Peer Group</w:t>
            </w:r>
          </w:p>
        </w:tc>
        <w:tc>
          <w:tcPr>
            <w:tcW w:w="4540" w:type="dxa"/>
            <w:vAlign w:val="bottom"/>
            <w:shd w:val="clear" w:color="auto" w:fill="C43776"/>
          </w:tcPr>
          <w:p>
            <w:pPr>
              <w:spacing w:after="0"/>
              <w:rPr>
                <w:sz w:val="24"/>
                <w:szCs w:val="24"/>
                <w:color w:val="auto"/>
              </w:rPr>
            </w:pPr>
          </w:p>
        </w:tc>
      </w:tr>
      <w:tr>
        <w:trPr>
          <w:trHeight w:val="94"/>
        </w:trPr>
        <w:tc>
          <w:tcPr>
            <w:tcW w:w="4540" w:type="dxa"/>
            <w:vAlign w:val="bottom"/>
            <w:shd w:val="clear" w:color="auto" w:fill="C43776"/>
          </w:tcPr>
          <w:p>
            <w:pPr>
              <w:spacing w:after="0"/>
              <w:rPr>
                <w:sz w:val="8"/>
                <w:szCs w:val="8"/>
                <w:color w:val="auto"/>
              </w:rPr>
            </w:pPr>
          </w:p>
        </w:tc>
        <w:tc>
          <w:tcPr>
            <w:tcW w:w="4540" w:type="dxa"/>
            <w:vAlign w:val="bottom"/>
            <w:shd w:val="clear" w:color="auto" w:fill="C43776"/>
          </w:tcPr>
          <w:p>
            <w:pPr>
              <w:spacing w:after="0"/>
              <w:rPr>
                <w:sz w:val="8"/>
                <w:szCs w:val="8"/>
                <w:color w:val="auto"/>
              </w:rPr>
            </w:pPr>
          </w:p>
        </w:tc>
      </w:tr>
      <w:tr>
        <w:trPr>
          <w:trHeight w:val="268"/>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Automatic Data Processing, Inc.</w:t>
            </w:r>
          </w:p>
        </w:tc>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Global Payments Inc.</w:t>
            </w:r>
          </w:p>
        </w:tc>
      </w:tr>
      <w:tr>
        <w:trPr>
          <w:trHeight w:val="42"/>
        </w:trPr>
        <w:tc>
          <w:tcPr>
            <w:tcW w:w="4540" w:type="dxa"/>
            <w:vAlign w:val="bottom"/>
          </w:tcPr>
          <w:p>
            <w:pPr>
              <w:spacing w:after="0"/>
              <w:rPr>
                <w:sz w:val="3"/>
                <w:szCs w:val="3"/>
                <w:color w:val="auto"/>
              </w:rPr>
            </w:pPr>
          </w:p>
        </w:tc>
        <w:tc>
          <w:tcPr>
            <w:tcW w:w="4540" w:type="dxa"/>
            <w:vAlign w:val="bottom"/>
          </w:tcPr>
          <w:p>
            <w:pPr>
              <w:spacing w:after="0"/>
              <w:rPr>
                <w:sz w:val="3"/>
                <w:szCs w:val="3"/>
                <w:color w:val="auto"/>
              </w:rPr>
            </w:pPr>
          </w:p>
        </w:tc>
      </w:tr>
      <w:tr>
        <w:trPr>
          <w:trHeight w:val="291"/>
        </w:trPr>
        <w:tc>
          <w:tcPr>
            <w:tcW w:w="45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Broadridge Financial Solutions, Inc.</w:t>
            </w:r>
          </w:p>
        </w:tc>
        <w:tc>
          <w:tcPr>
            <w:tcW w:w="454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4"/>
                <w:szCs w:val="14"/>
                <w:b w:val="1"/>
                <w:bCs w:val="1"/>
                <w:color w:val="auto"/>
              </w:rPr>
              <w:t>Intuit Inc.</w:t>
            </w:r>
          </w:p>
        </w:tc>
      </w:tr>
      <w:tr>
        <w:trPr>
          <w:trHeight w:val="268"/>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Dayforce, Inc. (formerly Ceridian HCM Holding Inc.)</w:t>
            </w:r>
          </w:p>
        </w:tc>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Jack Henry &amp; Associates, Inc.</w:t>
            </w:r>
          </w:p>
        </w:tc>
      </w:tr>
      <w:tr>
        <w:trPr>
          <w:trHeight w:val="43"/>
        </w:trPr>
        <w:tc>
          <w:tcPr>
            <w:tcW w:w="4540" w:type="dxa"/>
            <w:vAlign w:val="bottom"/>
          </w:tcPr>
          <w:p>
            <w:pPr>
              <w:spacing w:after="0"/>
              <w:rPr>
                <w:sz w:val="3"/>
                <w:szCs w:val="3"/>
                <w:color w:val="auto"/>
              </w:rPr>
            </w:pPr>
          </w:p>
        </w:tc>
        <w:tc>
          <w:tcPr>
            <w:tcW w:w="4540" w:type="dxa"/>
            <w:vAlign w:val="bottom"/>
          </w:tcPr>
          <w:p>
            <w:pPr>
              <w:spacing w:after="0"/>
              <w:rPr>
                <w:sz w:val="3"/>
                <w:szCs w:val="3"/>
                <w:color w:val="auto"/>
              </w:rPr>
            </w:pPr>
          </w:p>
        </w:tc>
      </w:tr>
      <w:tr>
        <w:trPr>
          <w:trHeight w:val="290"/>
        </w:trPr>
        <w:tc>
          <w:tcPr>
            <w:tcW w:w="45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Equifax Inc.</w:t>
            </w:r>
          </w:p>
        </w:tc>
        <w:tc>
          <w:tcPr>
            <w:tcW w:w="454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4"/>
                <w:szCs w:val="14"/>
                <w:b w:val="1"/>
                <w:bCs w:val="1"/>
                <w:color w:val="auto"/>
              </w:rPr>
              <w:t>Mastercard Incorporated</w:t>
            </w:r>
          </w:p>
        </w:tc>
      </w:tr>
      <w:tr>
        <w:trPr>
          <w:trHeight w:val="268"/>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Euronet Worldwide, Inc.</w:t>
            </w:r>
          </w:p>
        </w:tc>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Paychex, Inc.</w:t>
            </w:r>
          </w:p>
        </w:tc>
      </w:tr>
      <w:tr>
        <w:trPr>
          <w:trHeight w:val="43"/>
        </w:trPr>
        <w:tc>
          <w:tcPr>
            <w:tcW w:w="4540" w:type="dxa"/>
            <w:vAlign w:val="bottom"/>
          </w:tcPr>
          <w:p>
            <w:pPr>
              <w:spacing w:after="0"/>
              <w:rPr>
                <w:sz w:val="3"/>
                <w:szCs w:val="3"/>
                <w:color w:val="auto"/>
              </w:rPr>
            </w:pPr>
          </w:p>
        </w:tc>
        <w:tc>
          <w:tcPr>
            <w:tcW w:w="4540" w:type="dxa"/>
            <w:vAlign w:val="bottom"/>
          </w:tcPr>
          <w:p>
            <w:pPr>
              <w:spacing w:after="0"/>
              <w:rPr>
                <w:sz w:val="3"/>
                <w:szCs w:val="3"/>
                <w:color w:val="auto"/>
              </w:rPr>
            </w:pPr>
          </w:p>
        </w:tc>
      </w:tr>
      <w:tr>
        <w:trPr>
          <w:trHeight w:val="290"/>
        </w:trPr>
        <w:tc>
          <w:tcPr>
            <w:tcW w:w="45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Fair Isaac Corporation</w:t>
            </w:r>
          </w:p>
        </w:tc>
        <w:tc>
          <w:tcPr>
            <w:tcW w:w="454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4"/>
                <w:szCs w:val="14"/>
                <w:b w:val="1"/>
                <w:bCs w:val="1"/>
                <w:color w:val="auto"/>
              </w:rPr>
              <w:t>Paycom Software, Inc.</w:t>
            </w:r>
          </w:p>
        </w:tc>
      </w:tr>
      <w:tr>
        <w:trPr>
          <w:trHeight w:val="268"/>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Fidelity National Information Services, Inc.</w:t>
            </w:r>
          </w:p>
        </w:tc>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SS&amp;C Technologies Holdings, Inc.</w:t>
            </w:r>
          </w:p>
        </w:tc>
      </w:tr>
      <w:tr>
        <w:trPr>
          <w:trHeight w:val="43"/>
        </w:trPr>
        <w:tc>
          <w:tcPr>
            <w:tcW w:w="4540" w:type="dxa"/>
            <w:vAlign w:val="bottom"/>
          </w:tcPr>
          <w:p>
            <w:pPr>
              <w:spacing w:after="0"/>
              <w:rPr>
                <w:sz w:val="3"/>
                <w:szCs w:val="3"/>
                <w:color w:val="auto"/>
              </w:rPr>
            </w:pPr>
          </w:p>
        </w:tc>
        <w:tc>
          <w:tcPr>
            <w:tcW w:w="4540" w:type="dxa"/>
            <w:vAlign w:val="bottom"/>
          </w:tcPr>
          <w:p>
            <w:pPr>
              <w:spacing w:after="0"/>
              <w:rPr>
                <w:sz w:val="3"/>
                <w:szCs w:val="3"/>
                <w:color w:val="auto"/>
              </w:rPr>
            </w:pPr>
          </w:p>
        </w:tc>
      </w:tr>
      <w:tr>
        <w:trPr>
          <w:trHeight w:val="290"/>
        </w:trPr>
        <w:tc>
          <w:tcPr>
            <w:tcW w:w="45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Fiserv, Inc.</w:t>
            </w:r>
          </w:p>
        </w:tc>
        <w:tc>
          <w:tcPr>
            <w:tcW w:w="454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4"/>
                <w:szCs w:val="14"/>
                <w:b w:val="1"/>
                <w:bCs w:val="1"/>
                <w:color w:val="auto"/>
              </w:rPr>
              <w:t>Wex, Inc.</w:t>
            </w:r>
          </w:p>
        </w:tc>
      </w:tr>
      <w:tr>
        <w:trPr>
          <w:trHeight w:val="20"/>
        </w:trPr>
        <w:tc>
          <w:tcPr>
            <w:tcW w:w="4540" w:type="dxa"/>
            <w:vAlign w:val="bottom"/>
            <w:shd w:val="clear" w:color="auto" w:fill="C43776"/>
          </w:tcPr>
          <w:p>
            <w:pPr>
              <w:spacing w:after="0" w:line="20" w:lineRule="exact"/>
              <w:rPr>
                <w:sz w:val="1"/>
                <w:szCs w:val="1"/>
                <w:color w:val="auto"/>
              </w:rPr>
            </w:pPr>
          </w:p>
        </w:tc>
        <w:tc>
          <w:tcPr>
            <w:tcW w:w="4540" w:type="dxa"/>
            <w:vAlign w:val="bottom"/>
            <w:shd w:val="clear" w:color="auto" w:fill="C43776"/>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32"/>
          <w:szCs w:val="32"/>
          <w:color w:val="C43776"/>
        </w:rPr>
        <w:t>Information on Other Compensation-Related Topics</w:t>
      </w:r>
    </w:p>
    <w:p>
      <w:pPr>
        <w:spacing w:after="0" w:line="200"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b w:val="1"/>
          <w:bCs w:val="1"/>
          <w:color w:val="auto"/>
        </w:rPr>
        <w:t xml:space="preserve">Stock Ownership Policy. </w:t>
      </w:r>
      <w:r>
        <w:rPr>
          <w:rFonts w:ascii="Arial" w:cs="Arial" w:eastAsia="Arial" w:hAnsi="Arial"/>
          <w:sz w:val="16"/>
          <w:szCs w:val="16"/>
          <w:color w:val="auto"/>
        </w:rPr>
        <w:t>Our executive officers are subject to stock ownership requirements (expressed as a multiple of</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In response to input in our shareholder outreach process, we increased the stock ownership guideline requirements in 2019 to the following levels (which must be obtained within five years from an appointment to a covered position):</w:t>
      </w:r>
    </w:p>
    <w:p>
      <w:pPr>
        <w:spacing w:after="0" w:line="114" w:lineRule="exact"/>
        <w:rPr>
          <w:sz w:val="20"/>
          <w:szCs w:val="20"/>
          <w:color w:val="auto"/>
        </w:rPr>
      </w:pPr>
    </w:p>
    <w:p>
      <w:pPr>
        <w:ind w:left="340" w:hanging="251"/>
        <w:spacing w:after="0"/>
        <w:tabs>
          <w:tab w:leader="none" w:pos="340" w:val="left"/>
        </w:tabs>
        <w:numPr>
          <w:ilvl w:val="0"/>
          <w:numId w:val="48"/>
        </w:numPr>
        <w:rPr>
          <w:rFonts w:ascii="Arial" w:cs="Arial" w:eastAsia="Arial" w:hAnsi="Arial"/>
          <w:sz w:val="11"/>
          <w:szCs w:val="11"/>
          <w:color w:val="BE1549"/>
        </w:rPr>
      </w:pPr>
      <w:r>
        <w:rPr>
          <w:rFonts w:ascii="Arial" w:cs="Arial" w:eastAsia="Arial" w:hAnsi="Arial"/>
          <w:sz w:val="16"/>
          <w:szCs w:val="16"/>
          <w:b w:val="1"/>
          <w:bCs w:val="1"/>
          <w:color w:val="auto"/>
        </w:rPr>
        <w:t>Chief Executive Officer 6x</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48"/>
        </w:numPr>
        <w:rPr>
          <w:rFonts w:ascii="Arial" w:cs="Arial" w:eastAsia="Arial" w:hAnsi="Arial"/>
          <w:sz w:val="11"/>
          <w:szCs w:val="11"/>
          <w:color w:val="BE1549"/>
        </w:rPr>
      </w:pPr>
      <w:r>
        <w:rPr>
          <w:rFonts w:ascii="Arial" w:cs="Arial" w:eastAsia="Arial" w:hAnsi="Arial"/>
          <w:sz w:val="16"/>
          <w:szCs w:val="16"/>
          <w:b w:val="1"/>
          <w:bCs w:val="1"/>
          <w:color w:val="auto"/>
        </w:rPr>
        <w:t>Chief Financial Officer 4x</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48"/>
        </w:numPr>
        <w:rPr>
          <w:rFonts w:ascii="Arial" w:cs="Arial" w:eastAsia="Arial" w:hAnsi="Arial"/>
          <w:sz w:val="11"/>
          <w:szCs w:val="11"/>
          <w:color w:val="BE1549"/>
        </w:rPr>
      </w:pPr>
      <w:r>
        <w:rPr>
          <w:rFonts w:ascii="Arial" w:cs="Arial" w:eastAsia="Arial" w:hAnsi="Arial"/>
          <w:sz w:val="16"/>
          <w:szCs w:val="16"/>
          <w:b w:val="1"/>
          <w:bCs w:val="1"/>
          <w:color w:val="auto"/>
        </w:rPr>
        <w:t>All Other Executive Officers 3x</w:t>
      </w:r>
    </w:p>
    <w:p>
      <w:pPr>
        <w:spacing w:after="0" w:line="167"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Currently, all of our NEOs are in compliance with this policy or are on track to meet the required ownership level within the applicable time period.</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 xml:space="preserve">Insider Trading Policy. </w:t>
      </w:r>
      <w:r>
        <w:rPr>
          <w:rFonts w:ascii="Arial" w:cs="Arial" w:eastAsia="Arial" w:hAnsi="Arial"/>
          <w:sz w:val="16"/>
          <w:szCs w:val="16"/>
          <w:color w:val="auto"/>
        </w:rPr>
        <w:t>The Company maintains an insider trading policy applicable to all directors and employees. The policy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that Company personnel may not buy, sell or engage in other transactions in the Company’s stock while in possession of material non-public information, buy or sell securities of other companies while in possession of material non-public information about those companies they become aware of as a result of business dealings between the Company and those companies, or disclose material non-public information to any unauthorized persons outside of the Company. The policy</w:t>
      </w: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42</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sectPr>
      </w:pPr>
    </w:p>
    <w:bookmarkStart w:id="48" w:name="page49"/>
    <w:bookmarkEnd w:id="48"/>
    <w:p>
      <w:pPr>
        <w:ind w:left="60"/>
        <w:spacing w:after="0"/>
        <w:tabs>
          <w:tab w:leader="none" w:pos="5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05.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also restricts trading for all directors and employees to defined window periods which align with our quarterly earnings releases.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 xml:space="preserve">Anti-Hedging and Pledging Policy. </w:t>
      </w:r>
      <w:r>
        <w:rPr>
          <w:rFonts w:ascii="Arial" w:cs="Arial" w:eastAsia="Arial" w:hAnsi="Arial"/>
          <w:sz w:val="16"/>
          <w:szCs w:val="16"/>
          <w:color w:val="auto"/>
        </w:rPr>
        <w:t>Our employees, officers and directors are prohibited from purchasing or selling derivative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entering into derivatives contracts relating to our stock or otherwise engaging in hedging transactions. The prohibition on hedging transactions does not apply to stock options and awards under employee plans. Furthermore, our insider trading compliance policy prohibits executive officers and directors from pledging or otherwise using our common shares as collateral.</w:t>
      </w:r>
    </w:p>
    <w:p>
      <w:pPr>
        <w:spacing w:after="0" w:line="33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color w:val="auto"/>
        </w:rPr>
        <w:t xml:space="preserve">Equity Grant Practices. </w:t>
      </w:r>
      <w:r>
        <w:rPr>
          <w:rFonts w:ascii="Arial" w:cs="Arial" w:eastAsia="Arial" w:hAnsi="Arial"/>
          <w:sz w:val="16"/>
          <w:szCs w:val="16"/>
          <w:color w:val="auto"/>
        </w:rPr>
        <w:t>We generally grant equity-based incentives annually during the first calendar quarter. To date there</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no set program for the award of incremental periodic grants, and our compensation committee retains discretion to make equity awards at any time, including in connection with the promotion of an executive, to reward an executive for extraordinary performance or the assumption of additional responsibilities or for retention purposes. Our compensation committee approves equity awards granted to our NEOs on or before the grant date. The compensation committee does not take material non-public information into account when determining the timing and terms of such awards. We have not timed the disclosure of material non-public information for the purpose of affecting the value of executive compensation.</w:t>
      </w:r>
    </w:p>
    <w:p>
      <w:pPr>
        <w:spacing w:after="0" w:line="13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shown in the table below, in 2025, we awarded performance-based stock options to Mr. King during the period beginning four business days before the filing of a periodic report on Form 10-Q or Form 10-K or the filing or furnishing of a current report on Form 8-K disclosing material non-public information and ending one business day after the filing or furnishing of such report with the Securities and Exchange Commission.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840" w:type="dxa"/>
            <w:vAlign w:val="bottom"/>
            <w:shd w:val="clear" w:color="auto" w:fill="C43776"/>
          </w:tcPr>
          <w:p>
            <w:pPr>
              <w:spacing w:after="0"/>
              <w:rPr>
                <w:sz w:val="24"/>
                <w:szCs w:val="24"/>
                <w:color w:val="auto"/>
              </w:rPr>
            </w:pPr>
          </w:p>
        </w:tc>
        <w:tc>
          <w:tcPr>
            <w:tcW w:w="840" w:type="dxa"/>
            <w:vAlign w:val="bottom"/>
            <w:shd w:val="clear" w:color="auto" w:fill="C43776"/>
          </w:tcPr>
          <w:p>
            <w:pPr>
              <w:spacing w:after="0"/>
              <w:rPr>
                <w:sz w:val="24"/>
                <w:szCs w:val="24"/>
                <w:color w:val="auto"/>
              </w:rPr>
            </w:pPr>
          </w:p>
        </w:tc>
        <w:tc>
          <w:tcPr>
            <w:tcW w:w="880" w:type="dxa"/>
            <w:vAlign w:val="bottom"/>
            <w:shd w:val="clear" w:color="auto" w:fill="C43776"/>
          </w:tcPr>
          <w:p>
            <w:pPr>
              <w:spacing w:after="0"/>
              <w:rPr>
                <w:sz w:val="24"/>
                <w:szCs w:val="24"/>
                <w:color w:val="auto"/>
              </w:rPr>
            </w:pPr>
          </w:p>
        </w:tc>
        <w:tc>
          <w:tcPr>
            <w:tcW w:w="840" w:type="dxa"/>
            <w:vAlign w:val="bottom"/>
            <w:shd w:val="clear" w:color="auto" w:fill="C43776"/>
          </w:tcPr>
          <w:p>
            <w:pPr>
              <w:spacing w:after="0"/>
              <w:rPr>
                <w:sz w:val="24"/>
                <w:szCs w:val="24"/>
                <w:color w:val="auto"/>
              </w:rPr>
            </w:pPr>
          </w:p>
        </w:tc>
        <w:tc>
          <w:tcPr>
            <w:tcW w:w="880" w:type="dxa"/>
            <w:vAlign w:val="bottom"/>
            <w:shd w:val="clear" w:color="auto" w:fill="C43776"/>
          </w:tcPr>
          <w:p>
            <w:pPr>
              <w:spacing w:after="0"/>
              <w:rPr>
                <w:sz w:val="24"/>
                <w:szCs w:val="24"/>
                <w:color w:val="auto"/>
              </w:rPr>
            </w:pPr>
          </w:p>
        </w:tc>
        <w:tc>
          <w:tcPr>
            <w:tcW w:w="38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Percentage change in the closing share price of the</w:t>
            </w:r>
          </w:p>
        </w:tc>
      </w:tr>
      <w:tr>
        <w:trPr>
          <w:trHeight w:val="176"/>
        </w:trPr>
        <w:tc>
          <w:tcPr>
            <w:tcW w:w="1840" w:type="dxa"/>
            <w:vAlign w:val="bottom"/>
            <w:shd w:val="clear" w:color="auto" w:fill="C43776"/>
          </w:tcPr>
          <w:p>
            <w:pPr>
              <w:spacing w:after="0"/>
              <w:rPr>
                <w:sz w:val="15"/>
                <w:szCs w:val="15"/>
                <w:color w:val="auto"/>
              </w:rPr>
            </w:pPr>
          </w:p>
        </w:tc>
        <w:tc>
          <w:tcPr>
            <w:tcW w:w="840" w:type="dxa"/>
            <w:vAlign w:val="bottom"/>
            <w:shd w:val="clear" w:color="auto" w:fill="C43776"/>
          </w:tcPr>
          <w:p>
            <w:pPr>
              <w:spacing w:after="0"/>
              <w:rPr>
                <w:sz w:val="15"/>
                <w:szCs w:val="15"/>
                <w:color w:val="auto"/>
              </w:rPr>
            </w:pPr>
          </w:p>
        </w:tc>
        <w:tc>
          <w:tcPr>
            <w:tcW w:w="880" w:type="dxa"/>
            <w:vAlign w:val="bottom"/>
            <w:shd w:val="clear" w:color="auto" w:fill="C43776"/>
          </w:tcPr>
          <w:p>
            <w:pPr>
              <w:spacing w:after="0"/>
              <w:rPr>
                <w:sz w:val="15"/>
                <w:szCs w:val="15"/>
                <w:color w:val="auto"/>
              </w:rPr>
            </w:pPr>
          </w:p>
        </w:tc>
        <w:tc>
          <w:tcPr>
            <w:tcW w:w="840" w:type="dxa"/>
            <w:vAlign w:val="bottom"/>
            <w:shd w:val="clear" w:color="auto" w:fill="C43776"/>
          </w:tcPr>
          <w:p>
            <w:pPr>
              <w:spacing w:after="0"/>
              <w:rPr>
                <w:sz w:val="15"/>
                <w:szCs w:val="15"/>
                <w:color w:val="auto"/>
              </w:rPr>
            </w:pPr>
          </w:p>
        </w:tc>
        <w:tc>
          <w:tcPr>
            <w:tcW w:w="88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Grant Date</w:t>
            </w:r>
          </w:p>
        </w:tc>
        <w:tc>
          <w:tcPr>
            <w:tcW w:w="38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securities underlying the award between the trading</w:t>
            </w:r>
          </w:p>
        </w:tc>
      </w:tr>
      <w:tr>
        <w:trPr>
          <w:trHeight w:val="175"/>
        </w:trPr>
        <w:tc>
          <w:tcPr>
            <w:tcW w:w="1840" w:type="dxa"/>
            <w:vAlign w:val="bottom"/>
            <w:shd w:val="clear" w:color="auto" w:fill="C43776"/>
          </w:tcPr>
          <w:p>
            <w:pPr>
              <w:spacing w:after="0"/>
              <w:rPr>
                <w:sz w:val="15"/>
                <w:szCs w:val="15"/>
                <w:color w:val="auto"/>
              </w:rPr>
            </w:pPr>
          </w:p>
        </w:tc>
        <w:tc>
          <w:tcPr>
            <w:tcW w:w="840" w:type="dxa"/>
            <w:vAlign w:val="bottom"/>
            <w:shd w:val="clear" w:color="auto" w:fill="C43776"/>
          </w:tcPr>
          <w:p>
            <w:pPr>
              <w:spacing w:after="0"/>
              <w:rPr>
                <w:sz w:val="15"/>
                <w:szCs w:val="15"/>
                <w:color w:val="auto"/>
              </w:rPr>
            </w:pPr>
          </w:p>
        </w:tc>
        <w:tc>
          <w:tcPr>
            <w:tcW w:w="8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Securities</w:t>
            </w:r>
          </w:p>
        </w:tc>
        <w:tc>
          <w:tcPr>
            <w:tcW w:w="84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Exercise</w:t>
            </w:r>
          </w:p>
        </w:tc>
        <w:tc>
          <w:tcPr>
            <w:tcW w:w="88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Fair Value</w:t>
            </w:r>
          </w:p>
        </w:tc>
        <w:tc>
          <w:tcPr>
            <w:tcW w:w="38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day ending immediately prior to the disclosure of</w:t>
            </w:r>
          </w:p>
        </w:tc>
      </w:tr>
      <w:tr>
        <w:trPr>
          <w:trHeight w:val="162"/>
        </w:trPr>
        <w:tc>
          <w:tcPr>
            <w:tcW w:w="1840" w:type="dxa"/>
            <w:vAlign w:val="bottom"/>
            <w:shd w:val="clear" w:color="auto" w:fill="C43776"/>
          </w:tcPr>
          <w:p>
            <w:pPr>
              <w:spacing w:after="0"/>
              <w:rPr>
                <w:sz w:val="14"/>
                <w:szCs w:val="14"/>
                <w:color w:val="auto"/>
              </w:rPr>
            </w:pPr>
          </w:p>
        </w:tc>
        <w:tc>
          <w:tcPr>
            <w:tcW w:w="840" w:type="dxa"/>
            <w:vAlign w:val="bottom"/>
            <w:shd w:val="clear" w:color="auto" w:fill="C43776"/>
          </w:tcPr>
          <w:p>
            <w:pPr>
              <w:spacing w:after="0"/>
              <w:rPr>
                <w:sz w:val="14"/>
                <w:szCs w:val="14"/>
                <w:color w:val="auto"/>
              </w:rPr>
            </w:pPr>
          </w:p>
        </w:tc>
        <w:tc>
          <w:tcPr>
            <w:tcW w:w="8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Underlying</w:t>
            </w:r>
          </w:p>
        </w:tc>
        <w:tc>
          <w:tcPr>
            <w:tcW w:w="84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Price of</w:t>
            </w:r>
          </w:p>
        </w:tc>
        <w:tc>
          <w:tcPr>
            <w:tcW w:w="88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of the</w:t>
            </w:r>
          </w:p>
        </w:tc>
        <w:tc>
          <w:tcPr>
            <w:tcW w:w="38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material non-public information and the trading day</w:t>
            </w:r>
          </w:p>
        </w:tc>
      </w:tr>
      <w:tr>
        <w:trPr>
          <w:trHeight w:val="175"/>
        </w:trPr>
        <w:tc>
          <w:tcPr>
            <w:tcW w:w="1840" w:type="dxa"/>
            <w:vAlign w:val="bottom"/>
            <w:shd w:val="clear" w:color="auto" w:fill="C43776"/>
          </w:tcPr>
          <w:p>
            <w:pPr>
              <w:spacing w:after="0"/>
              <w:rPr>
                <w:sz w:val="15"/>
                <w:szCs w:val="15"/>
                <w:color w:val="auto"/>
              </w:rPr>
            </w:pPr>
          </w:p>
        </w:tc>
        <w:tc>
          <w:tcPr>
            <w:tcW w:w="840" w:type="dxa"/>
            <w:vAlign w:val="bottom"/>
            <w:shd w:val="clear" w:color="auto" w:fill="C43776"/>
          </w:tcPr>
          <w:p>
            <w:pPr>
              <w:spacing w:after="0"/>
              <w:rPr>
                <w:sz w:val="15"/>
                <w:szCs w:val="15"/>
                <w:color w:val="auto"/>
              </w:rPr>
            </w:pPr>
          </w:p>
        </w:tc>
        <w:tc>
          <w:tcPr>
            <w:tcW w:w="8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the Award</w:t>
            </w:r>
          </w:p>
        </w:tc>
        <w:tc>
          <w:tcPr>
            <w:tcW w:w="84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the Award</w:t>
            </w:r>
          </w:p>
        </w:tc>
        <w:tc>
          <w:tcPr>
            <w:tcW w:w="88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Award</w:t>
            </w:r>
          </w:p>
        </w:tc>
        <w:tc>
          <w:tcPr>
            <w:tcW w:w="38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beginning immediately following the disclosure of</w:t>
            </w:r>
          </w:p>
        </w:tc>
      </w:tr>
      <w:tr>
        <w:trPr>
          <w:trHeight w:val="185"/>
        </w:trPr>
        <w:tc>
          <w:tcPr>
            <w:tcW w:w="184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84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Grant Date</w:t>
            </w:r>
          </w:p>
        </w:tc>
        <w:tc>
          <w:tcPr>
            <w:tcW w:w="8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($/Sh)</w:t>
            </w:r>
          </w:p>
        </w:tc>
        <w:tc>
          <w:tcPr>
            <w:tcW w:w="88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w:t>
            </w:r>
          </w:p>
        </w:tc>
        <w:tc>
          <w:tcPr>
            <w:tcW w:w="38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material non-public information</w:t>
            </w:r>
          </w:p>
        </w:tc>
      </w:tr>
      <w:tr>
        <w:trPr>
          <w:trHeight w:val="95"/>
        </w:trPr>
        <w:tc>
          <w:tcPr>
            <w:tcW w:w="184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88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880" w:type="dxa"/>
            <w:vAlign w:val="bottom"/>
            <w:shd w:val="clear" w:color="auto" w:fill="C43776"/>
          </w:tcPr>
          <w:p>
            <w:pPr>
              <w:spacing w:after="0"/>
              <w:rPr>
                <w:sz w:val="8"/>
                <w:szCs w:val="8"/>
                <w:color w:val="auto"/>
              </w:rPr>
            </w:pPr>
          </w:p>
        </w:tc>
        <w:tc>
          <w:tcPr>
            <w:tcW w:w="3800" w:type="dxa"/>
            <w:vAlign w:val="bottom"/>
            <w:shd w:val="clear" w:color="auto" w:fill="C43776"/>
          </w:tcPr>
          <w:p>
            <w:pPr>
              <w:spacing w:after="0"/>
              <w:rPr>
                <w:sz w:val="8"/>
                <w:szCs w:val="8"/>
                <w:color w:val="auto"/>
              </w:rPr>
            </w:pPr>
          </w:p>
        </w:tc>
      </w:tr>
      <w:tr>
        <w:trPr>
          <w:trHeight w:val="268"/>
        </w:trPr>
        <w:tc>
          <w:tcPr>
            <w:tcW w:w="184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43"/>
        </w:trPr>
        <w:tc>
          <w:tcPr>
            <w:tcW w:w="1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90"/>
        </w:trPr>
        <w:tc>
          <w:tcPr>
            <w:tcW w:w="18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8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1F2F2"/>
            </w:tcBorders>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3800" w:type="dxa"/>
            <w:vAlign w:val="bottom"/>
            <w:tcBorders>
              <w:bottom w:val="single" w:sz="8" w:color="F1F2F2"/>
            </w:tcBorders>
            <w:shd w:val="clear" w:color="auto" w:fill="F1F2F2"/>
          </w:tcPr>
          <w:p>
            <w:pPr>
              <w:jc w:val="right"/>
              <w:ind w:right="208"/>
              <w:spacing w:after="0"/>
              <w:rPr>
                <w:sz w:val="20"/>
                <w:szCs w:val="20"/>
                <w:color w:val="auto"/>
              </w:rPr>
            </w:pPr>
            <w:r>
              <w:rPr>
                <w:rFonts w:ascii="Arial" w:cs="Arial" w:eastAsia="Arial" w:hAnsi="Arial"/>
                <w:sz w:val="14"/>
                <w:szCs w:val="14"/>
                <w:color w:val="auto"/>
              </w:rPr>
              <w:t>—</w:t>
            </w:r>
          </w:p>
        </w:tc>
      </w:tr>
      <w:tr>
        <w:trPr>
          <w:trHeight w:val="268"/>
        </w:trPr>
        <w:tc>
          <w:tcPr>
            <w:tcW w:w="1840" w:type="dxa"/>
            <w:vAlign w:val="bottom"/>
          </w:tcPr>
          <w:p>
            <w:pPr>
              <w:ind w:left="140"/>
              <w:spacing w:after="0"/>
              <w:rPr>
                <w:sz w:val="20"/>
                <w:szCs w:val="20"/>
                <w:color w:val="auto"/>
              </w:rPr>
            </w:pPr>
            <w:r>
              <w:rPr>
                <w:rFonts w:ascii="Arial" w:cs="Arial" w:eastAsia="Arial" w:hAnsi="Arial"/>
                <w:sz w:val="14"/>
                <w:szCs w:val="14"/>
                <w:b w:val="1"/>
                <w:bCs w:val="1"/>
                <w:color w:val="auto"/>
              </w:rPr>
              <w:t>Tom Panther</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42"/>
        </w:trPr>
        <w:tc>
          <w:tcPr>
            <w:tcW w:w="1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91"/>
        </w:trPr>
        <w:tc>
          <w:tcPr>
            <w:tcW w:w="18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Alissa B. Vickery</w:t>
            </w:r>
          </w:p>
        </w:tc>
        <w:tc>
          <w:tcPr>
            <w:tcW w:w="8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1F2F2"/>
            </w:tcBorders>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3800" w:type="dxa"/>
            <w:vAlign w:val="bottom"/>
            <w:tcBorders>
              <w:bottom w:val="single" w:sz="8" w:color="F1F2F2"/>
            </w:tcBorders>
            <w:shd w:val="clear" w:color="auto" w:fill="F1F2F2"/>
          </w:tcPr>
          <w:p>
            <w:pPr>
              <w:jc w:val="right"/>
              <w:ind w:right="208"/>
              <w:spacing w:after="0"/>
              <w:rPr>
                <w:sz w:val="20"/>
                <w:szCs w:val="20"/>
                <w:color w:val="auto"/>
              </w:rPr>
            </w:pPr>
            <w:r>
              <w:rPr>
                <w:rFonts w:ascii="Arial" w:cs="Arial" w:eastAsia="Arial" w:hAnsi="Arial"/>
                <w:sz w:val="14"/>
                <w:szCs w:val="14"/>
                <w:color w:val="auto"/>
              </w:rPr>
              <w:t>—</w:t>
            </w:r>
          </w:p>
        </w:tc>
      </w:tr>
      <w:tr>
        <w:trPr>
          <w:trHeight w:val="268"/>
        </w:trPr>
        <w:tc>
          <w:tcPr>
            <w:tcW w:w="1840" w:type="dxa"/>
            <w:vAlign w:val="bottom"/>
          </w:tcPr>
          <w:p>
            <w:pPr>
              <w:ind w:left="140"/>
              <w:spacing w:after="0"/>
              <w:rPr>
                <w:sz w:val="20"/>
                <w:szCs w:val="20"/>
                <w:color w:val="auto"/>
              </w:rPr>
            </w:pPr>
            <w:r>
              <w:rPr>
                <w:rFonts w:ascii="Arial" w:cs="Arial" w:eastAsia="Arial" w:hAnsi="Arial"/>
                <w:sz w:val="14"/>
                <w:szCs w:val="14"/>
                <w:b w:val="1"/>
                <w:bCs w:val="1"/>
                <w:color w:val="auto"/>
              </w:rPr>
              <w:t>Armando L. Netto</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43"/>
        </w:trPr>
        <w:tc>
          <w:tcPr>
            <w:tcW w:w="1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90"/>
        </w:trPr>
        <w:tc>
          <w:tcPr>
            <w:tcW w:w="18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Alan King</w:t>
            </w:r>
          </w:p>
        </w:tc>
        <w:tc>
          <w:tcPr>
            <w:tcW w:w="8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7/22/2025</w:t>
            </w:r>
          </w:p>
        </w:tc>
        <w:tc>
          <w:tcPr>
            <w:tcW w:w="88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71,989</w:t>
            </w:r>
          </w:p>
        </w:tc>
        <w:tc>
          <w:tcPr>
            <w:tcW w:w="84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334.29</w:t>
            </w:r>
          </w:p>
        </w:tc>
        <w:tc>
          <w:tcPr>
            <w:tcW w:w="880" w:type="dxa"/>
            <w:vAlign w:val="bottom"/>
            <w:tcBorders>
              <w:bottom w:val="single" w:sz="8" w:color="F1F2F2"/>
            </w:tcBorders>
            <w:shd w:val="clear" w:color="auto" w:fill="F1F2F2"/>
          </w:tcPr>
          <w:p>
            <w:pPr>
              <w:jc w:val="right"/>
              <w:ind w:right="28"/>
              <w:spacing w:after="0"/>
              <w:rPr>
                <w:sz w:val="20"/>
                <w:szCs w:val="20"/>
                <w:color w:val="auto"/>
              </w:rPr>
            </w:pPr>
            <w:r>
              <w:rPr>
                <w:rFonts w:ascii="Arial" w:cs="Arial" w:eastAsia="Arial" w:hAnsi="Arial"/>
                <w:sz w:val="14"/>
                <w:szCs w:val="14"/>
                <w:color w:val="auto"/>
              </w:rPr>
              <w:t>5,600,024</w:t>
            </w:r>
          </w:p>
        </w:tc>
        <w:tc>
          <w:tcPr>
            <w:tcW w:w="3800" w:type="dxa"/>
            <w:vAlign w:val="bottom"/>
            <w:tcBorders>
              <w:bottom w:val="single" w:sz="8" w:color="F1F2F2"/>
            </w:tcBorders>
            <w:shd w:val="clear" w:color="auto" w:fill="F1F2F2"/>
          </w:tcPr>
          <w:p>
            <w:pPr>
              <w:jc w:val="right"/>
              <w:ind w:right="28"/>
              <w:spacing w:after="0"/>
              <w:rPr>
                <w:sz w:val="20"/>
                <w:szCs w:val="20"/>
                <w:color w:val="auto"/>
              </w:rPr>
            </w:pPr>
            <w:r>
              <w:rPr>
                <w:rFonts w:ascii="Arial" w:cs="Arial" w:eastAsia="Arial" w:hAnsi="Arial"/>
                <w:sz w:val="14"/>
                <w:szCs w:val="14"/>
                <w:color w:val="auto"/>
              </w:rPr>
              <w:t>(0.22)%</w:t>
            </w:r>
          </w:p>
        </w:tc>
      </w:tr>
      <w:tr>
        <w:trPr>
          <w:trHeight w:val="20"/>
        </w:trPr>
        <w:tc>
          <w:tcPr>
            <w:tcW w:w="1840" w:type="dxa"/>
            <w:vAlign w:val="bottom"/>
            <w:shd w:val="clear" w:color="auto" w:fill="C43776"/>
          </w:tcPr>
          <w:p>
            <w:pPr>
              <w:spacing w:after="0" w:line="20" w:lineRule="exact"/>
              <w:rPr>
                <w:sz w:val="1"/>
                <w:szCs w:val="1"/>
                <w:color w:val="auto"/>
              </w:rPr>
            </w:pPr>
          </w:p>
        </w:tc>
        <w:tc>
          <w:tcPr>
            <w:tcW w:w="840" w:type="dxa"/>
            <w:vAlign w:val="bottom"/>
            <w:shd w:val="clear" w:color="auto" w:fill="C43776"/>
          </w:tcPr>
          <w:p>
            <w:pPr>
              <w:spacing w:after="0" w:line="20" w:lineRule="exact"/>
              <w:rPr>
                <w:sz w:val="1"/>
                <w:szCs w:val="1"/>
                <w:color w:val="auto"/>
              </w:rPr>
            </w:pPr>
          </w:p>
        </w:tc>
        <w:tc>
          <w:tcPr>
            <w:tcW w:w="880" w:type="dxa"/>
            <w:vAlign w:val="bottom"/>
            <w:shd w:val="clear" w:color="auto" w:fill="C43776"/>
          </w:tcPr>
          <w:p>
            <w:pPr>
              <w:spacing w:after="0" w:line="20" w:lineRule="exact"/>
              <w:rPr>
                <w:sz w:val="1"/>
                <w:szCs w:val="1"/>
                <w:color w:val="auto"/>
              </w:rPr>
            </w:pPr>
          </w:p>
        </w:tc>
        <w:tc>
          <w:tcPr>
            <w:tcW w:w="840" w:type="dxa"/>
            <w:vAlign w:val="bottom"/>
            <w:shd w:val="clear" w:color="auto" w:fill="C43776"/>
          </w:tcPr>
          <w:p>
            <w:pPr>
              <w:spacing w:after="0" w:line="20" w:lineRule="exact"/>
              <w:rPr>
                <w:sz w:val="1"/>
                <w:szCs w:val="1"/>
                <w:color w:val="auto"/>
              </w:rPr>
            </w:pPr>
          </w:p>
        </w:tc>
        <w:tc>
          <w:tcPr>
            <w:tcW w:w="880" w:type="dxa"/>
            <w:vAlign w:val="bottom"/>
            <w:shd w:val="clear" w:color="auto" w:fill="C43776"/>
          </w:tcPr>
          <w:p>
            <w:pPr>
              <w:spacing w:after="0" w:line="20" w:lineRule="exact"/>
              <w:rPr>
                <w:sz w:val="1"/>
                <w:szCs w:val="1"/>
                <w:color w:val="auto"/>
              </w:rPr>
            </w:pPr>
          </w:p>
        </w:tc>
        <w:tc>
          <w:tcPr>
            <w:tcW w:w="3800" w:type="dxa"/>
            <w:vAlign w:val="bottom"/>
            <w:shd w:val="clear" w:color="auto" w:fill="C43776"/>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Clawback Policies. </w:t>
      </w:r>
      <w:r>
        <w:rPr>
          <w:rFonts w:ascii="Arial" w:cs="Arial" w:eastAsia="Arial" w:hAnsi="Arial"/>
          <w:sz w:val="16"/>
          <w:szCs w:val="16"/>
          <w:color w:val="auto"/>
        </w:rPr>
        <w:t>In light of rules promulgated by the NYSE and SEC requirements, we adopted a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policy in 2023, which policy complies with the required standards (the “NYSE Clawback Policy”). The NYSE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NYSE Clawback Policy is in general limited to any compensation granted, earned or vested based wholly or in part on the attainment of a financial reporting measure.</w:t>
      </w:r>
    </w:p>
    <w:p>
      <w:pPr>
        <w:spacing w:after="0" w:line="32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general, we may utilize a broad range of recoupment methods under the NYSE Clawback Policy. The NYSE Clawback Policy does not condition clawback on the fault of the executive officer, and clawback thereunder is generally mandatory, except in limited circumstances where the compensation committee has made a determination that recovery would be impracticable and (1) we have already attempted to recover such amounts but the direct expenses paid to a third party in an effort to enforce the NYSE Clawback Policy would exceed the amount to be recovered, (2) the recovery of amounts would violate applicable home country law, or (3) the recovery would cause the non-compliance of a tax-qualified retirement plan under the Internal Revenue Code and applicable regulations. Operation of the NYSE Clawback Policy is subject to a brief phase-in process during the first few years after its effectiveness. We may not indemnify any such executive officer against the loss of such recovered compensation.</w:t>
      </w:r>
    </w:p>
    <w:p>
      <w:pPr>
        <w:spacing w:after="0" w:line="200" w:lineRule="exact"/>
        <w:rPr>
          <w:sz w:val="20"/>
          <w:szCs w:val="20"/>
          <w:color w:val="auto"/>
        </w:rPr>
      </w:pPr>
    </w:p>
    <w:p>
      <w:pPr>
        <w:spacing w:after="0" w:line="320"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43</w:t>
      </w:r>
    </w:p>
    <w:p>
      <w:pPr>
        <w:sectPr>
          <w:pgSz w:w="11900" w:h="16838" w:orient="portrait"/>
          <w:cols w:equalWidth="0" w:num="1">
            <w:col w:w="9080"/>
          </w:cols>
          <w:pgMar w:left="1400" w:top="729" w:right="1419" w:bottom="1440" w:gutter="0" w:footer="0" w:header="0"/>
        </w:sectPr>
      </w:pPr>
    </w:p>
    <w:bookmarkStart w:id="49" w:name="page50"/>
    <w:bookmarkEnd w:id="49"/>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05. COMPENSATION DISCUSSION AND ANALYSIS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9"/>
        <w:spacing w:after="0" w:line="259" w:lineRule="auto"/>
        <w:rPr>
          <w:sz w:val="20"/>
          <w:szCs w:val="20"/>
          <w:color w:val="auto"/>
        </w:rPr>
      </w:pPr>
      <w:r>
        <w:rPr>
          <w:rFonts w:ascii="Arial" w:cs="Arial" w:eastAsia="Arial" w:hAnsi="Arial"/>
          <w:sz w:val="16"/>
          <w:szCs w:val="16"/>
          <w:color w:val="auto"/>
        </w:rPr>
        <w:t>In 2019, we previously adopted a clawback policy applicable to our executive officers, including our NEOs, which applies to all incentive-based compensation earned by our executive officers (the “Supplemental Clawback Policy”). The Supplemental Clawback Policy provides that if our compensation committee determines that an executive officer engaged in misconduct that contributed to the Company being required to make a restatement of its financial statements, the Company will promptly recover from such executive officer all incentive-based compensation received that was in excess of the incentive-based compensation such executive officer would have received under the restated financial results of the Company. The Supplemental Clawback Policy remains in effect with respect to compensation received prior to the October 2, 2023 phase-in date of the NYSE Clawback Policy.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The Company does not provide excise tax gross-ups for any of its NEOs.</w:t>
      </w:r>
    </w:p>
    <w:p>
      <w:pPr>
        <w:spacing w:after="0" w:line="181" w:lineRule="exact"/>
        <w:rPr>
          <w:sz w:val="20"/>
          <w:szCs w:val="20"/>
          <w:color w:val="auto"/>
        </w:rPr>
      </w:pPr>
    </w:p>
    <w:p>
      <w:pPr>
        <w:jc w:val="both"/>
        <w:ind w:right="299"/>
        <w:spacing w:after="0" w:line="265" w:lineRule="auto"/>
        <w:rPr>
          <w:sz w:val="20"/>
          <w:szCs w:val="20"/>
          <w:color w:val="auto"/>
        </w:rPr>
      </w:pPr>
      <w:r>
        <w:rPr>
          <w:rFonts w:ascii="Arial" w:cs="Arial" w:eastAsia="Arial" w:hAnsi="Arial"/>
          <w:sz w:val="16"/>
          <w:szCs w:val="16"/>
          <w:b w:val="1"/>
          <w:bCs w:val="1"/>
          <w:color w:val="auto"/>
        </w:rPr>
        <w:t xml:space="preserve">Risk Assessment in Compensation Programs. </w:t>
      </w:r>
      <w:r>
        <w:rPr>
          <w:rFonts w:ascii="Arial" w:cs="Arial" w:eastAsia="Arial" w:hAnsi="Arial"/>
          <w:sz w:val="16"/>
          <w:szCs w:val="16"/>
          <w:color w:val="auto"/>
        </w:rPr>
        <w:t>We believe our compensation programs encourage and reward prudent</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judgment without encouraging undue risk. The compensation committee reviews our compensation programs for features that might encourage inappropriate risk-taking. We believe our compensation policies and practices do not create undue risks that are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44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59"/>
          </w:cols>
          <w:pgMar w:left="1400" w:top="770" w:right="1440" w:bottom="1440" w:gutter="0" w:footer="0" w:header="0"/>
        </w:sectPr>
      </w:pPr>
    </w:p>
    <w:bookmarkStart w:id="50" w:name="page51"/>
    <w:bookmarkEnd w:id="5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06. 2025 Named Executive Officer Compensation</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C43776"/>
        </w:rPr>
        <w:t>2025 Summary Compensation Table</w:t>
      </w:r>
    </w:p>
    <w:p>
      <w:pPr>
        <w:spacing w:after="0" w:line="2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table below illustrates the compensation for each of the NEOs</w:t>
      </w:r>
      <w:r>
        <w:rPr>
          <w:rFonts w:ascii="Arial" w:cs="Arial" w:eastAsia="Arial" w:hAnsi="Arial"/>
          <w:sz w:val="16"/>
          <w:szCs w:val="16"/>
          <w:b w:val="1"/>
          <w:bCs w:val="1"/>
          <w:color w:val="auto"/>
        </w:rPr>
        <w:t>.</w:t>
      </w:r>
      <w:r>
        <w:rPr>
          <w:rFonts w:ascii="Arial" w:cs="Arial" w:eastAsia="Arial" w:hAnsi="Arial"/>
          <w:sz w:val="16"/>
          <w:szCs w:val="16"/>
          <w:color w:val="auto"/>
        </w:rPr>
        <w:t xml:space="preserve"> The amounts presented below in the “Stock Awards” and “Option Awards” columns represent the grant date fair value of awards granted to the NEOs and may not reflect the actual value to be realized by each NEO. The actual value realized will not be determined until the time of vesting in the case of stock awards or until option exercise in the case of option awards.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100" w:type="dxa"/>
            <w:vAlign w:val="bottom"/>
            <w:shd w:val="clear" w:color="auto" w:fill="C43776"/>
          </w:tcPr>
          <w:p>
            <w:pPr>
              <w:spacing w:after="0"/>
              <w:rPr>
                <w:sz w:val="24"/>
                <w:szCs w:val="24"/>
                <w:color w:val="auto"/>
              </w:rPr>
            </w:pPr>
          </w:p>
        </w:tc>
        <w:tc>
          <w:tcPr>
            <w:tcW w:w="2800" w:type="dxa"/>
            <w:vAlign w:val="bottom"/>
            <w:shd w:val="clear" w:color="auto" w:fill="C43776"/>
          </w:tcPr>
          <w:p>
            <w:pPr>
              <w:spacing w:after="0"/>
              <w:rPr>
                <w:sz w:val="24"/>
                <w:szCs w:val="24"/>
                <w:color w:val="auto"/>
              </w:rPr>
            </w:pPr>
          </w:p>
        </w:tc>
        <w:tc>
          <w:tcPr>
            <w:tcW w:w="580" w:type="dxa"/>
            <w:vAlign w:val="bottom"/>
            <w:shd w:val="clear" w:color="auto" w:fill="C43776"/>
          </w:tcPr>
          <w:p>
            <w:pPr>
              <w:spacing w:after="0"/>
              <w:rPr>
                <w:sz w:val="24"/>
                <w:szCs w:val="24"/>
                <w:color w:val="auto"/>
              </w:rPr>
            </w:pPr>
          </w:p>
        </w:tc>
        <w:tc>
          <w:tcPr>
            <w:tcW w:w="760" w:type="dxa"/>
            <w:vAlign w:val="bottom"/>
            <w:shd w:val="clear" w:color="auto" w:fill="C43776"/>
          </w:tcPr>
          <w:p>
            <w:pPr>
              <w:spacing w:after="0"/>
              <w:rPr>
                <w:sz w:val="24"/>
                <w:szCs w:val="24"/>
                <w:color w:val="auto"/>
              </w:rPr>
            </w:pPr>
          </w:p>
        </w:tc>
        <w:tc>
          <w:tcPr>
            <w:tcW w:w="760" w:type="dxa"/>
            <w:vAlign w:val="bottom"/>
            <w:shd w:val="clear" w:color="auto" w:fill="C43776"/>
          </w:tcPr>
          <w:p>
            <w:pPr>
              <w:spacing w:after="0"/>
              <w:rPr>
                <w:sz w:val="24"/>
                <w:szCs w:val="24"/>
                <w:color w:val="auto"/>
              </w:rPr>
            </w:pPr>
          </w:p>
        </w:tc>
        <w:tc>
          <w:tcPr>
            <w:tcW w:w="8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Stock</w:t>
            </w:r>
          </w:p>
        </w:tc>
        <w:tc>
          <w:tcPr>
            <w:tcW w:w="84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Option</w:t>
            </w:r>
          </w:p>
        </w:tc>
        <w:tc>
          <w:tcPr>
            <w:tcW w:w="134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C43776"/>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 w:type="dxa"/>
            <w:vAlign w:val="bottom"/>
            <w:shd w:val="clear" w:color="auto" w:fill="C43776"/>
          </w:tcPr>
          <w:p>
            <w:pPr>
              <w:spacing w:after="0"/>
              <w:rPr>
                <w:sz w:val="16"/>
                <w:szCs w:val="16"/>
                <w:color w:val="auto"/>
              </w:rPr>
            </w:pPr>
          </w:p>
        </w:tc>
        <w:tc>
          <w:tcPr>
            <w:tcW w:w="280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Name and Principal</w:t>
            </w:r>
          </w:p>
        </w:tc>
        <w:tc>
          <w:tcPr>
            <w:tcW w:w="580" w:type="dxa"/>
            <w:vAlign w:val="bottom"/>
            <w:shd w:val="clear" w:color="auto" w:fill="C43776"/>
          </w:tcPr>
          <w:p>
            <w:pPr>
              <w:spacing w:after="0"/>
              <w:rPr>
                <w:sz w:val="16"/>
                <w:szCs w:val="16"/>
                <w:color w:val="auto"/>
              </w:rPr>
            </w:pPr>
          </w:p>
        </w:tc>
        <w:tc>
          <w:tcPr>
            <w:tcW w:w="760" w:type="dxa"/>
            <w:vAlign w:val="bottom"/>
            <w:shd w:val="clear" w:color="auto" w:fill="C43776"/>
          </w:tcPr>
          <w:p>
            <w:pPr>
              <w:jc w:val="right"/>
              <w:spacing w:after="0" w:line="191" w:lineRule="exact"/>
              <w:rPr>
                <w:sz w:val="20"/>
                <w:szCs w:val="20"/>
                <w:color w:val="auto"/>
              </w:rPr>
            </w:pPr>
            <w:r>
              <w:rPr>
                <w:rFonts w:ascii="Arial" w:cs="Arial" w:eastAsia="Arial" w:hAnsi="Arial"/>
                <w:sz w:val="14"/>
                <w:szCs w:val="14"/>
                <w:b w:val="1"/>
                <w:bCs w:val="1"/>
                <w:color w:val="FFFFFF"/>
              </w:rPr>
              <w:t>Salary</w:t>
            </w:r>
            <w:r>
              <w:rPr>
                <w:rFonts w:ascii="Arial" w:cs="Arial" w:eastAsia="Arial" w:hAnsi="Arial"/>
                <w:sz w:val="18"/>
                <w:szCs w:val="18"/>
                <w:b w:val="1"/>
                <w:bCs w:val="1"/>
                <w:color w:val="FFFFFF"/>
                <w:vertAlign w:val="superscript"/>
              </w:rPr>
              <w:t>(1)</w:t>
            </w:r>
          </w:p>
        </w:tc>
        <w:tc>
          <w:tcPr>
            <w:tcW w:w="760" w:type="dxa"/>
            <w:vAlign w:val="bottom"/>
            <w:shd w:val="clear" w:color="auto" w:fill="C43776"/>
          </w:tcPr>
          <w:p>
            <w:pPr>
              <w:ind w:left="140"/>
              <w:spacing w:after="0" w:line="191" w:lineRule="exact"/>
              <w:rPr>
                <w:sz w:val="20"/>
                <w:szCs w:val="20"/>
                <w:color w:val="auto"/>
              </w:rPr>
            </w:pPr>
            <w:r>
              <w:rPr>
                <w:rFonts w:ascii="Arial" w:cs="Arial" w:eastAsia="Arial" w:hAnsi="Arial"/>
                <w:sz w:val="14"/>
                <w:szCs w:val="14"/>
                <w:b w:val="1"/>
                <w:bCs w:val="1"/>
                <w:color w:val="FFFFFF"/>
              </w:rPr>
              <w:t>Bonus</w:t>
            </w:r>
            <w:r>
              <w:rPr>
                <w:rFonts w:ascii="Arial" w:cs="Arial" w:eastAsia="Arial" w:hAnsi="Arial"/>
                <w:sz w:val="18"/>
                <w:szCs w:val="18"/>
                <w:b w:val="1"/>
                <w:bCs w:val="1"/>
                <w:color w:val="FFFFFF"/>
                <w:vertAlign w:val="superscript"/>
              </w:rPr>
              <w:t>(2)</w:t>
            </w:r>
          </w:p>
        </w:tc>
        <w:tc>
          <w:tcPr>
            <w:tcW w:w="880" w:type="dxa"/>
            <w:vAlign w:val="bottom"/>
            <w:shd w:val="clear" w:color="auto" w:fill="C43776"/>
          </w:tcPr>
          <w:p>
            <w:pPr>
              <w:jc w:val="right"/>
              <w:ind w:right="8"/>
              <w:spacing w:after="0" w:line="191"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(3)</w:t>
            </w:r>
          </w:p>
        </w:tc>
        <w:tc>
          <w:tcPr>
            <w:tcW w:w="840" w:type="dxa"/>
            <w:vAlign w:val="bottom"/>
            <w:shd w:val="clear" w:color="auto" w:fill="C43776"/>
          </w:tcPr>
          <w:p>
            <w:pPr>
              <w:jc w:val="right"/>
              <w:spacing w:after="0" w:line="191"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(4)</w:t>
            </w:r>
          </w:p>
        </w:tc>
        <w:tc>
          <w:tcPr>
            <w:tcW w:w="1340" w:type="dxa"/>
            <w:vAlign w:val="bottom"/>
            <w:shd w:val="clear" w:color="auto" w:fill="C43776"/>
          </w:tcPr>
          <w:p>
            <w:pPr>
              <w:jc w:val="right"/>
              <w:ind w:right="88"/>
              <w:spacing w:after="0" w:line="191"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(5)</w:t>
            </w:r>
          </w:p>
        </w:tc>
        <w:tc>
          <w:tcPr>
            <w:tcW w:w="102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5"/>
        </w:trPr>
        <w:tc>
          <w:tcPr>
            <w:tcW w:w="100" w:type="dxa"/>
            <w:vAlign w:val="bottom"/>
            <w:shd w:val="clear" w:color="auto" w:fill="C43776"/>
          </w:tcPr>
          <w:p>
            <w:pPr>
              <w:spacing w:after="0"/>
              <w:rPr>
                <w:sz w:val="16"/>
                <w:szCs w:val="16"/>
                <w:color w:val="auto"/>
              </w:rPr>
            </w:pPr>
          </w:p>
        </w:tc>
        <w:tc>
          <w:tcPr>
            <w:tcW w:w="280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Position</w:t>
            </w:r>
          </w:p>
        </w:tc>
        <w:tc>
          <w:tcPr>
            <w:tcW w:w="58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Year</w:t>
            </w:r>
          </w:p>
        </w:tc>
        <w:tc>
          <w:tcPr>
            <w:tcW w:w="76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C43776"/>
          </w:tcPr>
          <w:p>
            <w:pPr>
              <w:jc w:val="center"/>
              <w:ind w:left="388"/>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5"/>
        </w:trPr>
        <w:tc>
          <w:tcPr>
            <w:tcW w:w="100" w:type="dxa"/>
            <w:vAlign w:val="bottom"/>
            <w:shd w:val="clear" w:color="auto" w:fill="C43776"/>
          </w:tcPr>
          <w:p>
            <w:pPr>
              <w:spacing w:after="0"/>
              <w:rPr>
                <w:sz w:val="8"/>
                <w:szCs w:val="8"/>
                <w:color w:val="auto"/>
              </w:rPr>
            </w:pPr>
          </w:p>
        </w:tc>
        <w:tc>
          <w:tcPr>
            <w:tcW w:w="2800" w:type="dxa"/>
            <w:vAlign w:val="bottom"/>
            <w:shd w:val="clear" w:color="auto" w:fill="C43776"/>
          </w:tcPr>
          <w:p>
            <w:pPr>
              <w:spacing w:after="0"/>
              <w:rPr>
                <w:sz w:val="8"/>
                <w:szCs w:val="8"/>
                <w:color w:val="auto"/>
              </w:rPr>
            </w:pPr>
          </w:p>
        </w:tc>
        <w:tc>
          <w:tcPr>
            <w:tcW w:w="580" w:type="dxa"/>
            <w:vAlign w:val="bottom"/>
            <w:shd w:val="clear" w:color="auto" w:fill="C43776"/>
          </w:tcPr>
          <w:p>
            <w:pPr>
              <w:spacing w:after="0"/>
              <w:rPr>
                <w:sz w:val="8"/>
                <w:szCs w:val="8"/>
                <w:color w:val="auto"/>
              </w:rPr>
            </w:pPr>
          </w:p>
        </w:tc>
        <w:tc>
          <w:tcPr>
            <w:tcW w:w="760" w:type="dxa"/>
            <w:vAlign w:val="bottom"/>
            <w:shd w:val="clear" w:color="auto" w:fill="C43776"/>
          </w:tcPr>
          <w:p>
            <w:pPr>
              <w:spacing w:after="0"/>
              <w:rPr>
                <w:sz w:val="8"/>
                <w:szCs w:val="8"/>
                <w:color w:val="auto"/>
              </w:rPr>
            </w:pPr>
          </w:p>
        </w:tc>
        <w:tc>
          <w:tcPr>
            <w:tcW w:w="760" w:type="dxa"/>
            <w:vAlign w:val="bottom"/>
            <w:shd w:val="clear" w:color="auto" w:fill="C43776"/>
          </w:tcPr>
          <w:p>
            <w:pPr>
              <w:spacing w:after="0"/>
              <w:rPr>
                <w:sz w:val="8"/>
                <w:szCs w:val="8"/>
                <w:color w:val="auto"/>
              </w:rPr>
            </w:pPr>
          </w:p>
        </w:tc>
        <w:tc>
          <w:tcPr>
            <w:tcW w:w="88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1340" w:type="dxa"/>
            <w:vAlign w:val="bottom"/>
            <w:shd w:val="clear" w:color="auto" w:fill="C43776"/>
          </w:tcPr>
          <w:p>
            <w:pPr>
              <w:spacing w:after="0"/>
              <w:rPr>
                <w:sz w:val="8"/>
                <w:szCs w:val="8"/>
                <w:color w:val="auto"/>
              </w:rPr>
            </w:pPr>
          </w:p>
        </w:tc>
        <w:tc>
          <w:tcPr>
            <w:tcW w:w="102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Ronald F. Clarke</w:t>
            </w:r>
          </w:p>
        </w:tc>
        <w:tc>
          <w:tcPr>
            <w:tcW w:w="580" w:type="dxa"/>
            <w:vAlign w:val="bottom"/>
          </w:tcPr>
          <w:p>
            <w:pPr>
              <w:ind w:left="120"/>
              <w:spacing w:after="0"/>
              <w:rPr>
                <w:sz w:val="20"/>
                <w:szCs w:val="20"/>
                <w:color w:val="auto"/>
              </w:rPr>
            </w:pPr>
            <w:r>
              <w:rPr>
                <w:rFonts w:ascii="Arial" w:cs="Arial" w:eastAsia="Arial" w:hAnsi="Arial"/>
                <w:sz w:val="14"/>
                <w:szCs w:val="14"/>
                <w:color w:val="auto"/>
              </w:rPr>
              <w:t>2025</w:t>
            </w:r>
          </w:p>
        </w:tc>
        <w:tc>
          <w:tcPr>
            <w:tcW w:w="760" w:type="dxa"/>
            <w:vAlign w:val="bottom"/>
          </w:tcPr>
          <w:p>
            <w:pPr>
              <w:jc w:val="right"/>
              <w:spacing w:after="0"/>
              <w:rPr>
                <w:sz w:val="20"/>
                <w:szCs w:val="20"/>
                <w:color w:val="auto"/>
              </w:rPr>
            </w:pPr>
            <w:r>
              <w:rPr>
                <w:rFonts w:ascii="Arial" w:cs="Arial" w:eastAsia="Arial" w:hAnsi="Arial"/>
                <w:sz w:val="14"/>
                <w:szCs w:val="14"/>
                <w:color w:val="auto"/>
              </w:rPr>
              <w:t>1,369,231</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2,000,120</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37,516</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3,406,867</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800" w:type="dxa"/>
            <w:vAlign w:val="bottom"/>
          </w:tcPr>
          <w:p>
            <w:pPr>
              <w:ind w:left="40"/>
              <w:spacing w:after="0"/>
              <w:rPr>
                <w:sz w:val="20"/>
                <w:szCs w:val="20"/>
                <w:color w:val="auto"/>
              </w:rPr>
            </w:pPr>
            <w:r>
              <w:rPr>
                <w:rFonts w:ascii="Arial" w:cs="Arial" w:eastAsia="Arial" w:hAnsi="Arial"/>
                <w:sz w:val="14"/>
                <w:szCs w:val="14"/>
                <w:color w:val="auto"/>
              </w:rPr>
              <w:t>Chief Executive Officer and Chair of</w:t>
            </w:r>
          </w:p>
        </w:tc>
        <w:tc>
          <w:tcPr>
            <w:tcW w:w="580" w:type="dxa"/>
            <w:vAlign w:val="bottom"/>
          </w:tcPr>
          <w:p>
            <w:pPr>
              <w:ind w:left="120"/>
              <w:spacing w:after="0"/>
              <w:rPr>
                <w:sz w:val="20"/>
                <w:szCs w:val="20"/>
                <w:color w:val="auto"/>
              </w:rPr>
            </w:pPr>
            <w:r>
              <w:rPr>
                <w:rFonts w:ascii="Arial" w:cs="Arial" w:eastAsia="Arial" w:hAnsi="Arial"/>
                <w:sz w:val="14"/>
                <w:szCs w:val="14"/>
                <w:color w:val="auto"/>
              </w:rPr>
              <w:t>2024</w:t>
            </w:r>
          </w:p>
        </w:tc>
        <w:tc>
          <w:tcPr>
            <w:tcW w:w="760" w:type="dxa"/>
            <w:vAlign w:val="bottom"/>
          </w:tcPr>
          <w:p>
            <w:pPr>
              <w:jc w:val="right"/>
              <w:spacing w:after="0"/>
              <w:rPr>
                <w:sz w:val="20"/>
                <w:szCs w:val="20"/>
                <w:color w:val="auto"/>
              </w:rPr>
            </w:pPr>
            <w:r>
              <w:rPr>
                <w:rFonts w:ascii="Arial" w:cs="Arial" w:eastAsia="Arial" w:hAnsi="Arial"/>
                <w:sz w:val="14"/>
                <w:szCs w:val="14"/>
                <w:color w:val="auto"/>
              </w:rPr>
              <w:t>1,200,000</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16,550,353</w:t>
            </w:r>
          </w:p>
        </w:tc>
        <w:tc>
          <w:tcPr>
            <w:tcW w:w="840" w:type="dxa"/>
            <w:vAlign w:val="bottom"/>
          </w:tcPr>
          <w:p>
            <w:pPr>
              <w:jc w:val="right"/>
              <w:spacing w:after="0"/>
              <w:rPr>
                <w:sz w:val="20"/>
                <w:szCs w:val="20"/>
                <w:color w:val="auto"/>
              </w:rPr>
            </w:pPr>
            <w:r>
              <w:rPr>
                <w:rFonts w:ascii="Arial" w:cs="Arial" w:eastAsia="Arial" w:hAnsi="Arial"/>
                <w:sz w:val="14"/>
                <w:szCs w:val="14"/>
                <w:color w:val="auto"/>
              </w:rPr>
              <w:t>10,268,500</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32,145</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28,050,998</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Arial" w:cs="Arial" w:eastAsia="Arial" w:hAnsi="Arial"/>
                <w:sz w:val="14"/>
                <w:szCs w:val="14"/>
                <w:color w:val="auto"/>
              </w:rPr>
              <w:t>the Board of Directors</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2023</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1,200,000</w:t>
            </w:r>
          </w:p>
        </w:tc>
        <w:tc>
          <w:tcPr>
            <w:tcW w:w="760" w:type="dxa"/>
            <w:vAlign w:val="bottom"/>
            <w:vMerge w:val="restart"/>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1,440,058</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color w:val="auto"/>
              </w:rPr>
              <w:t>28,966</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2,669,024</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100" w:type="dxa"/>
            <w:vAlign w:val="bottom"/>
            <w:shd w:val="clear" w:color="auto" w:fill="F1F2F2"/>
          </w:tcPr>
          <w:p>
            <w:pPr>
              <w:spacing w:after="0"/>
              <w:rPr>
                <w:sz w:val="21"/>
                <w:szCs w:val="21"/>
                <w:color w:val="auto"/>
              </w:rPr>
            </w:pPr>
          </w:p>
        </w:tc>
        <w:tc>
          <w:tcPr>
            <w:tcW w:w="280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Peter Walker</w:t>
            </w:r>
          </w:p>
        </w:tc>
        <w:tc>
          <w:tcPr>
            <w:tcW w:w="58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2025</w:t>
            </w:r>
          </w:p>
        </w:tc>
        <w:tc>
          <w:tcPr>
            <w:tcW w:w="76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251,538</w:t>
            </w:r>
          </w:p>
        </w:tc>
        <w:tc>
          <w:tcPr>
            <w:tcW w:w="760" w:type="dxa"/>
            <w:vAlign w:val="bottom"/>
            <w:vMerge w:val="restart"/>
            <w:shd w:val="clear" w:color="auto" w:fill="F1F2F2"/>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2,409,220</w:t>
            </w:r>
          </w:p>
        </w:tc>
        <w:tc>
          <w:tcPr>
            <w:tcW w:w="84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5,075,462</w:t>
            </w:r>
          </w:p>
        </w:tc>
        <w:tc>
          <w:tcPr>
            <w:tcW w:w="1340" w:type="dxa"/>
            <w:vAlign w:val="bottom"/>
            <w:vMerge w:val="restart"/>
            <w:shd w:val="clear" w:color="auto" w:fill="F1F2F2"/>
          </w:tcPr>
          <w:p>
            <w:pPr>
              <w:jc w:val="right"/>
              <w:ind w:right="108"/>
              <w:spacing w:after="0"/>
              <w:rPr>
                <w:sz w:val="20"/>
                <w:szCs w:val="20"/>
                <w:color w:val="auto"/>
              </w:rPr>
            </w:pPr>
            <w:r>
              <w:rPr>
                <w:rFonts w:ascii="Arial" w:cs="Arial" w:eastAsia="Arial" w:hAnsi="Arial"/>
                <w:sz w:val="14"/>
                <w:szCs w:val="14"/>
                <w:color w:val="auto"/>
              </w:rPr>
              <w:t>206,380</w:t>
            </w:r>
          </w:p>
        </w:tc>
        <w:tc>
          <w:tcPr>
            <w:tcW w:w="1020" w:type="dxa"/>
            <w:vAlign w:val="bottom"/>
            <w:vMerge w:val="restart"/>
            <w:shd w:val="clear" w:color="auto" w:fill="F1F2F2"/>
          </w:tcPr>
          <w:p>
            <w:pPr>
              <w:jc w:val="right"/>
              <w:ind w:right="88"/>
              <w:spacing w:after="0"/>
              <w:rPr>
                <w:sz w:val="20"/>
                <w:szCs w:val="20"/>
                <w:color w:val="auto"/>
              </w:rPr>
            </w:pPr>
            <w:r>
              <w:rPr>
                <w:rFonts w:ascii="Arial" w:cs="Arial" w:eastAsia="Arial" w:hAnsi="Arial"/>
                <w:sz w:val="14"/>
                <w:szCs w:val="14"/>
                <w:color w:val="auto"/>
              </w:rPr>
              <w:t>7,942,600</w:t>
            </w:r>
          </w:p>
        </w:tc>
        <w:tc>
          <w:tcPr>
            <w:tcW w:w="0" w:type="dxa"/>
            <w:vAlign w:val="bottom"/>
          </w:tcPr>
          <w:p>
            <w:pPr>
              <w:spacing w:after="0"/>
              <w:rPr>
                <w:sz w:val="1"/>
                <w:szCs w:val="1"/>
                <w:color w:val="auto"/>
              </w:rPr>
            </w:pPr>
          </w:p>
        </w:tc>
      </w:tr>
      <w:tr>
        <w:trPr>
          <w:trHeight w:val="109"/>
        </w:trPr>
        <w:tc>
          <w:tcPr>
            <w:tcW w:w="100" w:type="dxa"/>
            <w:vAlign w:val="bottom"/>
            <w:shd w:val="clear" w:color="auto" w:fill="F1F2F2"/>
          </w:tcPr>
          <w:p>
            <w:pPr>
              <w:spacing w:after="0"/>
              <w:rPr>
                <w:sz w:val="9"/>
                <w:szCs w:val="9"/>
                <w:color w:val="auto"/>
              </w:rPr>
            </w:pPr>
          </w:p>
        </w:tc>
        <w:tc>
          <w:tcPr>
            <w:tcW w:w="2800" w:type="dxa"/>
            <w:vAlign w:val="bottom"/>
            <w:vMerge w:val="restart"/>
            <w:shd w:val="clear" w:color="auto" w:fill="F1F2F2"/>
          </w:tcPr>
          <w:p>
            <w:pPr>
              <w:ind w:left="40"/>
              <w:spacing w:after="0"/>
              <w:rPr>
                <w:sz w:val="20"/>
                <w:szCs w:val="20"/>
                <w:color w:val="auto"/>
              </w:rPr>
            </w:pPr>
            <w:r>
              <w:rPr>
                <w:rFonts w:ascii="Arial" w:cs="Arial" w:eastAsia="Arial" w:hAnsi="Arial"/>
                <w:sz w:val="14"/>
                <w:szCs w:val="14"/>
                <w:color w:val="auto"/>
              </w:rPr>
              <w:t>Chief Financial Officer</w:t>
            </w:r>
          </w:p>
        </w:tc>
        <w:tc>
          <w:tcPr>
            <w:tcW w:w="580" w:type="dxa"/>
            <w:vAlign w:val="bottom"/>
            <w:vMerge w:val="continue"/>
            <w:shd w:val="clear" w:color="auto" w:fill="F1F2F2"/>
          </w:tcPr>
          <w:p>
            <w:pPr>
              <w:spacing w:after="0"/>
              <w:rPr>
                <w:sz w:val="9"/>
                <w:szCs w:val="9"/>
                <w:color w:val="auto"/>
              </w:rPr>
            </w:pPr>
          </w:p>
        </w:tc>
        <w:tc>
          <w:tcPr>
            <w:tcW w:w="760" w:type="dxa"/>
            <w:vAlign w:val="bottom"/>
            <w:vMerge w:val="continue"/>
            <w:shd w:val="clear" w:color="auto" w:fill="F1F2F2"/>
          </w:tcPr>
          <w:p>
            <w:pPr>
              <w:spacing w:after="0"/>
              <w:rPr>
                <w:sz w:val="9"/>
                <w:szCs w:val="9"/>
                <w:color w:val="auto"/>
              </w:rPr>
            </w:pPr>
          </w:p>
        </w:tc>
        <w:tc>
          <w:tcPr>
            <w:tcW w:w="760" w:type="dxa"/>
            <w:vAlign w:val="bottom"/>
            <w:vMerge w:val="continue"/>
            <w:shd w:val="clear" w:color="auto" w:fill="F1F2F2"/>
          </w:tcPr>
          <w:p>
            <w:pPr>
              <w:spacing w:after="0"/>
              <w:rPr>
                <w:sz w:val="9"/>
                <w:szCs w:val="9"/>
                <w:color w:val="auto"/>
              </w:rPr>
            </w:pPr>
          </w:p>
        </w:tc>
        <w:tc>
          <w:tcPr>
            <w:tcW w:w="880" w:type="dxa"/>
            <w:vAlign w:val="bottom"/>
            <w:vMerge w:val="continue"/>
            <w:shd w:val="clear" w:color="auto" w:fill="F1F2F2"/>
          </w:tcPr>
          <w:p>
            <w:pPr>
              <w:spacing w:after="0"/>
              <w:rPr>
                <w:sz w:val="9"/>
                <w:szCs w:val="9"/>
                <w:color w:val="auto"/>
              </w:rPr>
            </w:pPr>
          </w:p>
        </w:tc>
        <w:tc>
          <w:tcPr>
            <w:tcW w:w="840" w:type="dxa"/>
            <w:vAlign w:val="bottom"/>
            <w:vMerge w:val="continue"/>
            <w:shd w:val="clear" w:color="auto" w:fill="F1F2F2"/>
          </w:tcPr>
          <w:p>
            <w:pPr>
              <w:spacing w:after="0"/>
              <w:rPr>
                <w:sz w:val="9"/>
                <w:szCs w:val="9"/>
                <w:color w:val="auto"/>
              </w:rPr>
            </w:pPr>
          </w:p>
        </w:tc>
        <w:tc>
          <w:tcPr>
            <w:tcW w:w="1340" w:type="dxa"/>
            <w:vAlign w:val="bottom"/>
            <w:vMerge w:val="continue"/>
            <w:shd w:val="clear" w:color="auto" w:fill="F1F2F2"/>
          </w:tcPr>
          <w:p>
            <w:pPr>
              <w:spacing w:after="0"/>
              <w:rPr>
                <w:sz w:val="9"/>
                <w:szCs w:val="9"/>
                <w:color w:val="auto"/>
              </w:rPr>
            </w:pPr>
          </w:p>
        </w:tc>
        <w:tc>
          <w:tcPr>
            <w:tcW w:w="102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1F2F2"/>
          </w:tcPr>
          <w:p>
            <w:pPr>
              <w:spacing w:after="0"/>
              <w:rPr>
                <w:sz w:val="7"/>
                <w:szCs w:val="7"/>
                <w:color w:val="auto"/>
              </w:rPr>
            </w:pPr>
          </w:p>
        </w:tc>
        <w:tc>
          <w:tcPr>
            <w:tcW w:w="2800" w:type="dxa"/>
            <w:vAlign w:val="bottom"/>
            <w:vMerge w:val="continue"/>
            <w:shd w:val="clear" w:color="auto" w:fill="F1F2F2"/>
          </w:tcPr>
          <w:p>
            <w:pPr>
              <w:spacing w:after="0"/>
              <w:rPr>
                <w:sz w:val="7"/>
                <w:szCs w:val="7"/>
                <w:color w:val="auto"/>
              </w:rPr>
            </w:pPr>
          </w:p>
        </w:tc>
        <w:tc>
          <w:tcPr>
            <w:tcW w:w="580" w:type="dxa"/>
            <w:vAlign w:val="bottom"/>
            <w:shd w:val="clear" w:color="auto" w:fill="F1F2F2"/>
          </w:tcPr>
          <w:p>
            <w:pPr>
              <w:spacing w:after="0"/>
              <w:rPr>
                <w:sz w:val="7"/>
                <w:szCs w:val="7"/>
                <w:color w:val="auto"/>
              </w:rPr>
            </w:pPr>
          </w:p>
        </w:tc>
        <w:tc>
          <w:tcPr>
            <w:tcW w:w="760" w:type="dxa"/>
            <w:vAlign w:val="bottom"/>
            <w:shd w:val="clear" w:color="auto" w:fill="F1F2F2"/>
          </w:tcPr>
          <w:p>
            <w:pPr>
              <w:spacing w:after="0"/>
              <w:rPr>
                <w:sz w:val="7"/>
                <w:szCs w:val="7"/>
                <w:color w:val="auto"/>
              </w:rPr>
            </w:pPr>
          </w:p>
        </w:tc>
        <w:tc>
          <w:tcPr>
            <w:tcW w:w="76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840" w:type="dxa"/>
            <w:vAlign w:val="bottom"/>
            <w:shd w:val="clear" w:color="auto" w:fill="F1F2F2"/>
          </w:tcPr>
          <w:p>
            <w:pPr>
              <w:spacing w:after="0"/>
              <w:rPr>
                <w:sz w:val="7"/>
                <w:szCs w:val="7"/>
                <w:color w:val="auto"/>
              </w:rPr>
            </w:pPr>
          </w:p>
        </w:tc>
        <w:tc>
          <w:tcPr>
            <w:tcW w:w="1340" w:type="dxa"/>
            <w:vAlign w:val="bottom"/>
            <w:shd w:val="clear" w:color="auto" w:fill="F1F2F2"/>
          </w:tcPr>
          <w:p>
            <w:pPr>
              <w:spacing w:after="0"/>
              <w:rPr>
                <w:sz w:val="7"/>
                <w:szCs w:val="7"/>
                <w:color w:val="auto"/>
              </w:rPr>
            </w:pPr>
          </w:p>
        </w:tc>
        <w:tc>
          <w:tcPr>
            <w:tcW w:w="10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F1F2F2"/>
          </w:tcPr>
          <w:p>
            <w:pPr>
              <w:spacing w:after="0"/>
              <w:rPr>
                <w:sz w:val="5"/>
                <w:szCs w:val="5"/>
                <w:color w:val="auto"/>
              </w:rPr>
            </w:pPr>
          </w:p>
        </w:tc>
        <w:tc>
          <w:tcPr>
            <w:tcW w:w="2800" w:type="dxa"/>
            <w:vAlign w:val="bottom"/>
            <w:shd w:val="clear" w:color="auto" w:fill="F1F2F2"/>
          </w:tcPr>
          <w:p>
            <w:pPr>
              <w:spacing w:after="0"/>
              <w:rPr>
                <w:sz w:val="5"/>
                <w:szCs w:val="5"/>
                <w:color w:val="auto"/>
              </w:rPr>
            </w:pPr>
          </w:p>
        </w:tc>
        <w:tc>
          <w:tcPr>
            <w:tcW w:w="580" w:type="dxa"/>
            <w:vAlign w:val="bottom"/>
            <w:shd w:val="clear" w:color="auto" w:fill="F1F2F2"/>
          </w:tcPr>
          <w:p>
            <w:pPr>
              <w:spacing w:after="0"/>
              <w:rPr>
                <w:sz w:val="5"/>
                <w:szCs w:val="5"/>
                <w:color w:val="auto"/>
              </w:rPr>
            </w:pPr>
          </w:p>
        </w:tc>
        <w:tc>
          <w:tcPr>
            <w:tcW w:w="760" w:type="dxa"/>
            <w:vAlign w:val="bottom"/>
            <w:shd w:val="clear" w:color="auto" w:fill="F1F2F2"/>
          </w:tcPr>
          <w:p>
            <w:pPr>
              <w:spacing w:after="0"/>
              <w:rPr>
                <w:sz w:val="5"/>
                <w:szCs w:val="5"/>
                <w:color w:val="auto"/>
              </w:rPr>
            </w:pPr>
          </w:p>
        </w:tc>
        <w:tc>
          <w:tcPr>
            <w:tcW w:w="760" w:type="dxa"/>
            <w:vAlign w:val="bottom"/>
            <w:shd w:val="clear" w:color="auto" w:fill="F1F2F2"/>
          </w:tcPr>
          <w:p>
            <w:pPr>
              <w:spacing w:after="0"/>
              <w:rPr>
                <w:sz w:val="5"/>
                <w:szCs w:val="5"/>
                <w:color w:val="auto"/>
              </w:rPr>
            </w:pPr>
          </w:p>
        </w:tc>
        <w:tc>
          <w:tcPr>
            <w:tcW w:w="880" w:type="dxa"/>
            <w:vAlign w:val="bottom"/>
            <w:shd w:val="clear" w:color="auto" w:fill="F1F2F2"/>
          </w:tcPr>
          <w:p>
            <w:pPr>
              <w:spacing w:after="0"/>
              <w:rPr>
                <w:sz w:val="5"/>
                <w:szCs w:val="5"/>
                <w:color w:val="auto"/>
              </w:rPr>
            </w:pPr>
          </w:p>
        </w:tc>
        <w:tc>
          <w:tcPr>
            <w:tcW w:w="840" w:type="dxa"/>
            <w:vAlign w:val="bottom"/>
            <w:shd w:val="clear" w:color="auto" w:fill="F1F2F2"/>
          </w:tcPr>
          <w:p>
            <w:pPr>
              <w:spacing w:after="0"/>
              <w:rPr>
                <w:sz w:val="5"/>
                <w:szCs w:val="5"/>
                <w:color w:val="auto"/>
              </w:rPr>
            </w:pPr>
          </w:p>
        </w:tc>
        <w:tc>
          <w:tcPr>
            <w:tcW w:w="1340" w:type="dxa"/>
            <w:vAlign w:val="bottom"/>
            <w:shd w:val="clear" w:color="auto" w:fill="F1F2F2"/>
          </w:tcPr>
          <w:p>
            <w:pPr>
              <w:spacing w:after="0"/>
              <w:rPr>
                <w:sz w:val="5"/>
                <w:szCs w:val="5"/>
                <w:color w:val="auto"/>
              </w:rPr>
            </w:pPr>
          </w:p>
        </w:tc>
        <w:tc>
          <w:tcPr>
            <w:tcW w:w="102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580" w:type="dxa"/>
            <w:vAlign w:val="bottom"/>
          </w:tcPr>
          <w:p>
            <w:pPr>
              <w:ind w:left="120"/>
              <w:spacing w:after="0"/>
              <w:rPr>
                <w:sz w:val="20"/>
                <w:szCs w:val="20"/>
                <w:color w:val="auto"/>
              </w:rPr>
            </w:pPr>
            <w:r>
              <w:rPr>
                <w:rFonts w:ascii="Arial" w:cs="Arial" w:eastAsia="Arial" w:hAnsi="Arial"/>
                <w:sz w:val="14"/>
                <w:szCs w:val="14"/>
                <w:color w:val="auto"/>
              </w:rPr>
              <w:t>2025</w:t>
            </w:r>
          </w:p>
        </w:tc>
        <w:tc>
          <w:tcPr>
            <w:tcW w:w="760" w:type="dxa"/>
            <w:vAlign w:val="bottom"/>
          </w:tcPr>
          <w:p>
            <w:pPr>
              <w:jc w:val="right"/>
              <w:spacing w:after="0"/>
              <w:rPr>
                <w:sz w:val="20"/>
                <w:szCs w:val="20"/>
                <w:color w:val="auto"/>
              </w:rPr>
            </w:pPr>
            <w:r>
              <w:rPr>
                <w:rFonts w:ascii="Arial" w:cs="Arial" w:eastAsia="Arial" w:hAnsi="Arial"/>
                <w:sz w:val="14"/>
                <w:szCs w:val="14"/>
                <w:color w:val="auto"/>
              </w:rPr>
              <w:t>131,250</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7,455</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138,705</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800" w:type="dxa"/>
            <w:vAlign w:val="bottom"/>
          </w:tcPr>
          <w:p>
            <w:pPr>
              <w:ind w:left="40"/>
              <w:spacing w:after="0"/>
              <w:rPr>
                <w:sz w:val="20"/>
                <w:szCs w:val="20"/>
                <w:color w:val="auto"/>
              </w:rPr>
            </w:pPr>
            <w:r>
              <w:rPr>
                <w:rFonts w:ascii="Arial" w:cs="Arial" w:eastAsia="Arial" w:hAnsi="Arial"/>
                <w:sz w:val="14"/>
                <w:szCs w:val="14"/>
                <w:b w:val="1"/>
                <w:bCs w:val="1"/>
                <w:color w:val="auto"/>
              </w:rPr>
              <w:t>Tom Panther</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2024</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486,539</w:t>
            </w:r>
          </w:p>
        </w:tc>
        <w:tc>
          <w:tcPr>
            <w:tcW w:w="760" w:type="dxa"/>
            <w:vAlign w:val="bottom"/>
            <w:vMerge w:val="restart"/>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2,625,471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1,200,005</w:t>
            </w: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color w:val="auto"/>
              </w:rPr>
              <w:t>34,139</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4,346,154</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2800" w:type="dxa"/>
            <w:vAlign w:val="bottom"/>
            <w:vMerge w:val="restart"/>
          </w:tcPr>
          <w:p>
            <w:pPr>
              <w:ind w:left="40"/>
              <w:spacing w:after="0"/>
              <w:rPr>
                <w:sz w:val="20"/>
                <w:szCs w:val="20"/>
                <w:color w:val="auto"/>
              </w:rPr>
            </w:pPr>
            <w:r>
              <w:rPr>
                <w:rFonts w:ascii="Arial" w:cs="Arial" w:eastAsia="Arial" w:hAnsi="Arial"/>
                <w:sz w:val="14"/>
                <w:szCs w:val="14"/>
                <w:color w:val="auto"/>
              </w:rPr>
              <w:t>Former Chief Financial Officer</w:t>
            </w:r>
          </w:p>
        </w:tc>
        <w:tc>
          <w:tcPr>
            <w:tcW w:w="5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261,539</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1,380,255</w:t>
            </w:r>
          </w:p>
        </w:tc>
        <w:tc>
          <w:tcPr>
            <w:tcW w:w="840" w:type="dxa"/>
            <w:vAlign w:val="bottom"/>
          </w:tcPr>
          <w:p>
            <w:pPr>
              <w:jc w:val="right"/>
              <w:spacing w:after="0"/>
              <w:rPr>
                <w:sz w:val="20"/>
                <w:szCs w:val="20"/>
                <w:color w:val="auto"/>
              </w:rPr>
            </w:pPr>
            <w:r>
              <w:rPr>
                <w:rFonts w:ascii="Arial" w:cs="Arial" w:eastAsia="Arial" w:hAnsi="Arial"/>
                <w:sz w:val="14"/>
                <w:szCs w:val="14"/>
                <w:color w:val="auto"/>
              </w:rPr>
              <w:t>1,200,001</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13,308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2,855,102</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00" w:type="dxa"/>
            <w:vAlign w:val="bottom"/>
            <w:shd w:val="clear" w:color="auto" w:fill="F1F2F2"/>
          </w:tcPr>
          <w:p>
            <w:pPr>
              <w:spacing w:after="0"/>
              <w:rPr>
                <w:sz w:val="22"/>
                <w:szCs w:val="22"/>
                <w:color w:val="auto"/>
              </w:rPr>
            </w:pPr>
          </w:p>
        </w:tc>
        <w:tc>
          <w:tcPr>
            <w:tcW w:w="280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Alissa B. Vickery</w:t>
            </w:r>
          </w:p>
        </w:tc>
        <w:tc>
          <w:tcPr>
            <w:tcW w:w="580" w:type="dxa"/>
            <w:vAlign w:val="bottom"/>
            <w:shd w:val="clear" w:color="auto" w:fill="F1F2F2"/>
          </w:tcPr>
          <w:p>
            <w:pPr>
              <w:ind w:left="120"/>
              <w:spacing w:after="0"/>
              <w:rPr>
                <w:sz w:val="20"/>
                <w:szCs w:val="20"/>
                <w:color w:val="auto"/>
              </w:rPr>
            </w:pPr>
            <w:r>
              <w:rPr>
                <w:rFonts w:ascii="Arial" w:cs="Arial" w:eastAsia="Arial" w:hAnsi="Arial"/>
                <w:sz w:val="14"/>
                <w:szCs w:val="14"/>
                <w:color w:val="auto"/>
              </w:rPr>
              <w:t>2025</w:t>
            </w:r>
          </w:p>
        </w:tc>
        <w:tc>
          <w:tcPr>
            <w:tcW w:w="76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300,000</w:t>
            </w:r>
          </w:p>
        </w:tc>
        <w:tc>
          <w:tcPr>
            <w:tcW w:w="760" w:type="dxa"/>
            <w:vAlign w:val="bottom"/>
            <w:shd w:val="clear" w:color="auto" w:fill="F1F2F2"/>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540,444</w:t>
            </w:r>
          </w:p>
        </w:tc>
        <w:tc>
          <w:tcPr>
            <w:tcW w:w="8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4,813</w:t>
            </w:r>
          </w:p>
        </w:tc>
        <w:tc>
          <w:tcPr>
            <w:tcW w:w="10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845,257</w:t>
            </w:r>
          </w:p>
        </w:tc>
        <w:tc>
          <w:tcPr>
            <w:tcW w:w="0" w:type="dxa"/>
            <w:vAlign w:val="bottom"/>
          </w:tcPr>
          <w:p>
            <w:pPr>
              <w:spacing w:after="0"/>
              <w:rPr>
                <w:sz w:val="1"/>
                <w:szCs w:val="1"/>
                <w:color w:val="auto"/>
              </w:rPr>
            </w:pPr>
          </w:p>
        </w:tc>
      </w:tr>
      <w:tr>
        <w:trPr>
          <w:trHeight w:val="120"/>
        </w:trPr>
        <w:tc>
          <w:tcPr>
            <w:tcW w:w="100" w:type="dxa"/>
            <w:vAlign w:val="bottom"/>
            <w:shd w:val="clear" w:color="auto" w:fill="F1F2F2"/>
          </w:tcPr>
          <w:p>
            <w:pPr>
              <w:spacing w:after="0"/>
              <w:rPr>
                <w:sz w:val="10"/>
                <w:szCs w:val="10"/>
                <w:color w:val="auto"/>
              </w:rPr>
            </w:pPr>
          </w:p>
        </w:tc>
        <w:tc>
          <w:tcPr>
            <w:tcW w:w="2800" w:type="dxa"/>
            <w:vAlign w:val="bottom"/>
            <w:vMerge w:val="continue"/>
            <w:shd w:val="clear" w:color="auto" w:fill="F1F2F2"/>
          </w:tcPr>
          <w:p>
            <w:pPr>
              <w:spacing w:after="0"/>
              <w:rPr>
                <w:sz w:val="10"/>
                <w:szCs w:val="10"/>
                <w:color w:val="auto"/>
              </w:rPr>
            </w:pPr>
          </w:p>
        </w:tc>
        <w:tc>
          <w:tcPr>
            <w:tcW w:w="580" w:type="dxa"/>
            <w:vAlign w:val="bottom"/>
            <w:shd w:val="clear" w:color="auto" w:fill="F1F2F2"/>
          </w:tcPr>
          <w:p>
            <w:pPr>
              <w:spacing w:after="0"/>
              <w:rPr>
                <w:sz w:val="10"/>
                <w:szCs w:val="10"/>
                <w:color w:val="auto"/>
              </w:rPr>
            </w:pPr>
          </w:p>
        </w:tc>
        <w:tc>
          <w:tcPr>
            <w:tcW w:w="760" w:type="dxa"/>
            <w:vAlign w:val="bottom"/>
            <w:shd w:val="clear" w:color="auto" w:fill="F1F2F2"/>
          </w:tcPr>
          <w:p>
            <w:pPr>
              <w:spacing w:after="0"/>
              <w:rPr>
                <w:sz w:val="10"/>
                <w:szCs w:val="10"/>
                <w:color w:val="auto"/>
              </w:rPr>
            </w:pPr>
          </w:p>
        </w:tc>
        <w:tc>
          <w:tcPr>
            <w:tcW w:w="760" w:type="dxa"/>
            <w:vAlign w:val="bottom"/>
            <w:shd w:val="clear" w:color="auto" w:fill="F1F2F2"/>
          </w:tcPr>
          <w:p>
            <w:pPr>
              <w:spacing w:after="0"/>
              <w:rPr>
                <w:sz w:val="10"/>
                <w:szCs w:val="10"/>
                <w:color w:val="auto"/>
              </w:rPr>
            </w:pPr>
          </w:p>
        </w:tc>
        <w:tc>
          <w:tcPr>
            <w:tcW w:w="880" w:type="dxa"/>
            <w:vAlign w:val="bottom"/>
            <w:shd w:val="clear" w:color="auto" w:fill="F1F2F2"/>
          </w:tcPr>
          <w:p>
            <w:pPr>
              <w:spacing w:after="0"/>
              <w:rPr>
                <w:sz w:val="10"/>
                <w:szCs w:val="10"/>
                <w:color w:val="auto"/>
              </w:rPr>
            </w:pPr>
          </w:p>
        </w:tc>
        <w:tc>
          <w:tcPr>
            <w:tcW w:w="840" w:type="dxa"/>
            <w:vAlign w:val="bottom"/>
            <w:shd w:val="clear" w:color="auto" w:fill="F1F2F2"/>
          </w:tcPr>
          <w:p>
            <w:pPr>
              <w:spacing w:after="0"/>
              <w:rPr>
                <w:sz w:val="10"/>
                <w:szCs w:val="10"/>
                <w:color w:val="auto"/>
              </w:rPr>
            </w:pPr>
          </w:p>
        </w:tc>
        <w:tc>
          <w:tcPr>
            <w:tcW w:w="1340" w:type="dxa"/>
            <w:vAlign w:val="bottom"/>
            <w:shd w:val="clear" w:color="auto" w:fill="F1F2F2"/>
          </w:tcPr>
          <w:p>
            <w:pPr>
              <w:spacing w:after="0"/>
              <w:rPr>
                <w:sz w:val="10"/>
                <w:szCs w:val="10"/>
                <w:color w:val="auto"/>
              </w:rPr>
            </w:pPr>
          </w:p>
        </w:tc>
        <w:tc>
          <w:tcPr>
            <w:tcW w:w="1020" w:type="dxa"/>
            <w:vAlign w:val="bottom"/>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F1F2F2"/>
          </w:tcPr>
          <w:p>
            <w:pPr>
              <w:spacing w:after="0"/>
              <w:rPr>
                <w:sz w:val="15"/>
                <w:szCs w:val="15"/>
                <w:color w:val="auto"/>
              </w:rPr>
            </w:pPr>
          </w:p>
        </w:tc>
        <w:tc>
          <w:tcPr>
            <w:tcW w:w="2800" w:type="dxa"/>
            <w:vAlign w:val="bottom"/>
            <w:shd w:val="clear" w:color="auto" w:fill="F1F2F2"/>
          </w:tcPr>
          <w:p>
            <w:pPr>
              <w:ind w:left="40"/>
              <w:spacing w:after="0"/>
              <w:rPr>
                <w:sz w:val="20"/>
                <w:szCs w:val="20"/>
                <w:color w:val="auto"/>
              </w:rPr>
            </w:pPr>
            <w:r>
              <w:rPr>
                <w:rFonts w:ascii="Arial" w:cs="Arial" w:eastAsia="Arial" w:hAnsi="Arial"/>
                <w:sz w:val="14"/>
                <w:szCs w:val="14"/>
                <w:color w:val="auto"/>
              </w:rPr>
              <w:t>Chief Accounting Officer and Former</w:t>
            </w:r>
          </w:p>
        </w:tc>
        <w:tc>
          <w:tcPr>
            <w:tcW w:w="580" w:type="dxa"/>
            <w:vAlign w:val="bottom"/>
            <w:shd w:val="clear" w:color="auto" w:fill="F1F2F2"/>
          </w:tcPr>
          <w:p>
            <w:pPr>
              <w:ind w:left="120"/>
              <w:spacing w:after="0"/>
              <w:rPr>
                <w:sz w:val="20"/>
                <w:szCs w:val="20"/>
                <w:color w:val="auto"/>
              </w:rPr>
            </w:pPr>
            <w:r>
              <w:rPr>
                <w:rFonts w:ascii="Arial" w:cs="Arial" w:eastAsia="Arial" w:hAnsi="Arial"/>
                <w:sz w:val="14"/>
                <w:szCs w:val="14"/>
                <w:color w:val="auto"/>
              </w:rPr>
              <w:t>2024</w:t>
            </w:r>
          </w:p>
        </w:tc>
        <w:tc>
          <w:tcPr>
            <w:tcW w:w="76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300,000</w:t>
            </w:r>
          </w:p>
        </w:tc>
        <w:tc>
          <w:tcPr>
            <w:tcW w:w="760" w:type="dxa"/>
            <w:vAlign w:val="bottom"/>
            <w:shd w:val="clear" w:color="auto" w:fill="F1F2F2"/>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352,467</w:t>
            </w:r>
          </w:p>
        </w:tc>
        <w:tc>
          <w:tcPr>
            <w:tcW w:w="8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300,073</w:t>
            </w:r>
          </w:p>
        </w:tc>
        <w:tc>
          <w:tcPr>
            <w:tcW w:w="134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4,768</w:t>
            </w:r>
          </w:p>
        </w:tc>
        <w:tc>
          <w:tcPr>
            <w:tcW w:w="10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957,308</w:t>
            </w:r>
          </w:p>
        </w:tc>
        <w:tc>
          <w:tcPr>
            <w:tcW w:w="0" w:type="dxa"/>
            <w:vAlign w:val="bottom"/>
          </w:tcPr>
          <w:p>
            <w:pPr>
              <w:spacing w:after="0"/>
              <w:rPr>
                <w:sz w:val="1"/>
                <w:szCs w:val="1"/>
                <w:color w:val="auto"/>
              </w:rPr>
            </w:pPr>
          </w:p>
        </w:tc>
      </w:tr>
      <w:tr>
        <w:trPr>
          <w:trHeight w:val="190"/>
        </w:trPr>
        <w:tc>
          <w:tcPr>
            <w:tcW w:w="100" w:type="dxa"/>
            <w:vAlign w:val="bottom"/>
            <w:shd w:val="clear" w:color="auto" w:fill="F1F2F2"/>
          </w:tcPr>
          <w:p>
            <w:pPr>
              <w:spacing w:after="0"/>
              <w:rPr>
                <w:sz w:val="16"/>
                <w:szCs w:val="16"/>
                <w:color w:val="auto"/>
              </w:rPr>
            </w:pPr>
          </w:p>
        </w:tc>
        <w:tc>
          <w:tcPr>
            <w:tcW w:w="2800" w:type="dxa"/>
            <w:vAlign w:val="bottom"/>
            <w:shd w:val="clear" w:color="auto" w:fill="F1F2F2"/>
          </w:tcPr>
          <w:p>
            <w:pPr>
              <w:ind w:left="40"/>
              <w:spacing w:after="0"/>
              <w:rPr>
                <w:sz w:val="20"/>
                <w:szCs w:val="20"/>
                <w:color w:val="auto"/>
              </w:rPr>
            </w:pPr>
            <w:r>
              <w:rPr>
                <w:rFonts w:ascii="Arial" w:cs="Arial" w:eastAsia="Arial" w:hAnsi="Arial"/>
                <w:sz w:val="14"/>
                <w:szCs w:val="14"/>
                <w:color w:val="auto"/>
              </w:rPr>
              <w:t>Interim Chief Financial Officer</w:t>
            </w:r>
          </w:p>
        </w:tc>
        <w:tc>
          <w:tcPr>
            <w:tcW w:w="58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2023</w:t>
            </w:r>
          </w:p>
        </w:tc>
        <w:tc>
          <w:tcPr>
            <w:tcW w:w="76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284,615</w:t>
            </w:r>
          </w:p>
        </w:tc>
        <w:tc>
          <w:tcPr>
            <w:tcW w:w="760" w:type="dxa"/>
            <w:vAlign w:val="bottom"/>
            <w:vMerge w:val="restart"/>
            <w:shd w:val="clear" w:color="auto" w:fill="F1F2F2"/>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434,473</w:t>
            </w:r>
          </w:p>
        </w:tc>
        <w:tc>
          <w:tcPr>
            <w:tcW w:w="84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F1F2F2"/>
          </w:tcPr>
          <w:p>
            <w:pPr>
              <w:jc w:val="right"/>
              <w:ind w:right="108"/>
              <w:spacing w:after="0"/>
              <w:rPr>
                <w:sz w:val="20"/>
                <w:szCs w:val="20"/>
                <w:color w:val="auto"/>
              </w:rPr>
            </w:pPr>
            <w:r>
              <w:rPr>
                <w:rFonts w:ascii="Arial" w:cs="Arial" w:eastAsia="Arial" w:hAnsi="Arial"/>
                <w:sz w:val="14"/>
                <w:szCs w:val="14"/>
                <w:color w:val="auto"/>
              </w:rPr>
              <w:t>5,010</w:t>
            </w:r>
          </w:p>
        </w:tc>
        <w:tc>
          <w:tcPr>
            <w:tcW w:w="1020" w:type="dxa"/>
            <w:vAlign w:val="bottom"/>
            <w:vMerge w:val="restart"/>
            <w:shd w:val="clear" w:color="auto" w:fill="F1F2F2"/>
          </w:tcPr>
          <w:p>
            <w:pPr>
              <w:jc w:val="right"/>
              <w:ind w:right="88"/>
              <w:spacing w:after="0"/>
              <w:rPr>
                <w:sz w:val="20"/>
                <w:szCs w:val="20"/>
                <w:color w:val="auto"/>
              </w:rPr>
            </w:pPr>
            <w:r>
              <w:rPr>
                <w:rFonts w:ascii="Arial" w:cs="Arial" w:eastAsia="Arial" w:hAnsi="Arial"/>
                <w:sz w:val="14"/>
                <w:szCs w:val="14"/>
                <w:color w:val="auto"/>
              </w:rPr>
              <w:t>724,098</w:t>
            </w:r>
          </w:p>
        </w:tc>
        <w:tc>
          <w:tcPr>
            <w:tcW w:w="0" w:type="dxa"/>
            <w:vAlign w:val="bottom"/>
          </w:tcPr>
          <w:p>
            <w:pPr>
              <w:spacing w:after="0"/>
              <w:rPr>
                <w:sz w:val="1"/>
                <w:szCs w:val="1"/>
                <w:color w:val="auto"/>
              </w:rPr>
            </w:pPr>
          </w:p>
        </w:tc>
      </w:tr>
      <w:tr>
        <w:trPr>
          <w:trHeight w:val="163"/>
        </w:trPr>
        <w:tc>
          <w:tcPr>
            <w:tcW w:w="100" w:type="dxa"/>
            <w:vAlign w:val="bottom"/>
            <w:tcBorders>
              <w:bottom w:val="single" w:sz="8" w:color="F1F2F2"/>
            </w:tcBorders>
            <w:shd w:val="clear" w:color="auto" w:fill="F1F2F2"/>
          </w:tcPr>
          <w:p>
            <w:pPr>
              <w:spacing w:after="0"/>
              <w:rPr>
                <w:sz w:val="14"/>
                <w:szCs w:val="14"/>
                <w:color w:val="auto"/>
              </w:rPr>
            </w:pPr>
          </w:p>
        </w:tc>
        <w:tc>
          <w:tcPr>
            <w:tcW w:w="2800" w:type="dxa"/>
            <w:vAlign w:val="bottom"/>
            <w:tcBorders>
              <w:bottom w:val="single" w:sz="8" w:color="F1F2F2"/>
            </w:tcBorders>
            <w:shd w:val="clear" w:color="auto" w:fill="F1F2F2"/>
          </w:tcPr>
          <w:p>
            <w:pPr>
              <w:spacing w:after="0"/>
              <w:rPr>
                <w:sz w:val="14"/>
                <w:szCs w:val="14"/>
                <w:color w:val="auto"/>
              </w:rPr>
            </w:pPr>
          </w:p>
        </w:tc>
        <w:tc>
          <w:tcPr>
            <w:tcW w:w="580" w:type="dxa"/>
            <w:vAlign w:val="bottom"/>
            <w:tcBorders>
              <w:bottom w:val="single" w:sz="8" w:color="F1F2F2"/>
            </w:tcBorders>
            <w:vMerge w:val="continue"/>
            <w:shd w:val="clear" w:color="auto" w:fill="F1F2F2"/>
          </w:tcPr>
          <w:p>
            <w:pPr>
              <w:spacing w:after="0"/>
              <w:rPr>
                <w:sz w:val="14"/>
                <w:szCs w:val="14"/>
                <w:color w:val="auto"/>
              </w:rPr>
            </w:pPr>
          </w:p>
        </w:tc>
        <w:tc>
          <w:tcPr>
            <w:tcW w:w="760" w:type="dxa"/>
            <w:vAlign w:val="bottom"/>
            <w:tcBorders>
              <w:bottom w:val="single" w:sz="8" w:color="F1F2F2"/>
            </w:tcBorders>
            <w:vMerge w:val="continue"/>
            <w:shd w:val="clear" w:color="auto" w:fill="F1F2F2"/>
          </w:tcPr>
          <w:p>
            <w:pPr>
              <w:spacing w:after="0"/>
              <w:rPr>
                <w:sz w:val="14"/>
                <w:szCs w:val="14"/>
                <w:color w:val="auto"/>
              </w:rPr>
            </w:pPr>
          </w:p>
        </w:tc>
        <w:tc>
          <w:tcPr>
            <w:tcW w:w="760" w:type="dxa"/>
            <w:vAlign w:val="bottom"/>
            <w:tcBorders>
              <w:bottom w:val="single" w:sz="8" w:color="F1F2F2"/>
            </w:tcBorders>
            <w:vMerge w:val="continue"/>
            <w:shd w:val="clear" w:color="auto" w:fill="F1F2F2"/>
          </w:tcPr>
          <w:p>
            <w:pPr>
              <w:spacing w:after="0"/>
              <w:rPr>
                <w:sz w:val="14"/>
                <w:szCs w:val="14"/>
                <w:color w:val="auto"/>
              </w:rPr>
            </w:pPr>
          </w:p>
        </w:tc>
        <w:tc>
          <w:tcPr>
            <w:tcW w:w="880" w:type="dxa"/>
            <w:vAlign w:val="bottom"/>
            <w:tcBorders>
              <w:bottom w:val="single" w:sz="8" w:color="F1F2F2"/>
            </w:tcBorders>
            <w:vMerge w:val="continue"/>
            <w:shd w:val="clear" w:color="auto" w:fill="F1F2F2"/>
          </w:tcPr>
          <w:p>
            <w:pPr>
              <w:spacing w:after="0"/>
              <w:rPr>
                <w:sz w:val="14"/>
                <w:szCs w:val="14"/>
                <w:color w:val="auto"/>
              </w:rPr>
            </w:pPr>
          </w:p>
        </w:tc>
        <w:tc>
          <w:tcPr>
            <w:tcW w:w="840" w:type="dxa"/>
            <w:vAlign w:val="bottom"/>
            <w:tcBorders>
              <w:bottom w:val="single" w:sz="8" w:color="F1F2F2"/>
            </w:tcBorders>
            <w:vMerge w:val="continue"/>
            <w:shd w:val="clear" w:color="auto" w:fill="F1F2F2"/>
          </w:tcPr>
          <w:p>
            <w:pPr>
              <w:spacing w:after="0"/>
              <w:rPr>
                <w:sz w:val="14"/>
                <w:szCs w:val="14"/>
                <w:color w:val="auto"/>
              </w:rPr>
            </w:pPr>
          </w:p>
        </w:tc>
        <w:tc>
          <w:tcPr>
            <w:tcW w:w="1340" w:type="dxa"/>
            <w:vAlign w:val="bottom"/>
            <w:tcBorders>
              <w:bottom w:val="single" w:sz="8" w:color="F1F2F2"/>
            </w:tcBorders>
            <w:vMerge w:val="continue"/>
            <w:shd w:val="clear" w:color="auto" w:fill="F1F2F2"/>
          </w:tcPr>
          <w:p>
            <w:pPr>
              <w:spacing w:after="0"/>
              <w:rPr>
                <w:sz w:val="14"/>
                <w:szCs w:val="14"/>
                <w:color w:val="auto"/>
              </w:rPr>
            </w:pPr>
          </w:p>
        </w:tc>
        <w:tc>
          <w:tcPr>
            <w:tcW w:w="1020" w:type="dxa"/>
            <w:vAlign w:val="bottom"/>
            <w:tcBorders>
              <w:bottom w:val="single" w:sz="8" w:color="F1F2F2"/>
            </w:tcBorders>
            <w:vMerge w:val="continue"/>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Armando L. Netto</w:t>
            </w:r>
            <w:r>
              <w:rPr>
                <w:rFonts w:ascii="Arial" w:cs="Arial" w:eastAsia="Arial" w:hAnsi="Arial"/>
                <w:sz w:val="18"/>
                <w:szCs w:val="18"/>
                <w:b w:val="1"/>
                <w:bCs w:val="1"/>
                <w:color w:val="auto"/>
                <w:vertAlign w:val="superscript"/>
              </w:rPr>
              <w:t>(6)</w:t>
            </w:r>
          </w:p>
        </w:tc>
        <w:tc>
          <w:tcPr>
            <w:tcW w:w="580" w:type="dxa"/>
            <w:vAlign w:val="bottom"/>
          </w:tcPr>
          <w:p>
            <w:pPr>
              <w:ind w:left="120"/>
              <w:spacing w:after="0"/>
              <w:rPr>
                <w:sz w:val="20"/>
                <w:szCs w:val="20"/>
                <w:color w:val="auto"/>
              </w:rPr>
            </w:pPr>
            <w:r>
              <w:rPr>
                <w:rFonts w:ascii="Arial" w:cs="Arial" w:eastAsia="Arial" w:hAnsi="Arial"/>
                <w:sz w:val="14"/>
                <w:szCs w:val="14"/>
                <w:color w:val="auto"/>
              </w:rPr>
              <w:t>2025</w:t>
            </w:r>
          </w:p>
        </w:tc>
        <w:tc>
          <w:tcPr>
            <w:tcW w:w="760" w:type="dxa"/>
            <w:vAlign w:val="bottom"/>
          </w:tcPr>
          <w:p>
            <w:pPr>
              <w:jc w:val="right"/>
              <w:spacing w:after="0"/>
              <w:rPr>
                <w:sz w:val="20"/>
                <w:szCs w:val="20"/>
                <w:color w:val="auto"/>
              </w:rPr>
            </w:pPr>
            <w:r>
              <w:rPr>
                <w:rFonts w:ascii="Arial" w:cs="Arial" w:eastAsia="Arial" w:hAnsi="Arial"/>
                <w:sz w:val="14"/>
                <w:szCs w:val="14"/>
                <w:color w:val="auto"/>
              </w:rPr>
              <w:t>550,000</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3,344,550</w:t>
            </w:r>
          </w:p>
        </w:tc>
        <w:tc>
          <w:tcPr>
            <w:tcW w:w="840" w:type="dxa"/>
            <w:vAlign w:val="bottom"/>
          </w:tcPr>
          <w:p>
            <w:pPr>
              <w:jc w:val="right"/>
              <w:spacing w:after="0"/>
              <w:rPr>
                <w:sz w:val="20"/>
                <w:szCs w:val="20"/>
                <w:color w:val="auto"/>
              </w:rPr>
            </w:pPr>
            <w:r>
              <w:rPr>
                <w:rFonts w:ascii="Arial" w:cs="Arial" w:eastAsia="Arial" w:hAnsi="Arial"/>
                <w:sz w:val="14"/>
                <w:szCs w:val="14"/>
                <w:color w:val="auto"/>
              </w:rPr>
              <w:t>1,200,043</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544,579</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5,639,172</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800" w:type="dxa"/>
            <w:vAlign w:val="bottom"/>
          </w:tcPr>
          <w:p>
            <w:pPr>
              <w:ind w:left="40"/>
              <w:spacing w:after="0"/>
              <w:rPr>
                <w:sz w:val="20"/>
                <w:szCs w:val="20"/>
                <w:color w:val="auto"/>
              </w:rPr>
            </w:pPr>
            <w:r>
              <w:rPr>
                <w:rFonts w:ascii="Arial" w:cs="Arial" w:eastAsia="Arial" w:hAnsi="Arial"/>
                <w:sz w:val="14"/>
                <w:szCs w:val="14"/>
                <w:color w:val="auto"/>
              </w:rPr>
              <w:t>Group President, Brazil Vehicle</w:t>
            </w:r>
          </w:p>
        </w:tc>
        <w:tc>
          <w:tcPr>
            <w:tcW w:w="580" w:type="dxa"/>
            <w:vAlign w:val="bottom"/>
          </w:tcPr>
          <w:p>
            <w:pPr>
              <w:ind w:left="120"/>
              <w:spacing w:after="0"/>
              <w:rPr>
                <w:sz w:val="20"/>
                <w:szCs w:val="20"/>
                <w:color w:val="auto"/>
              </w:rPr>
            </w:pPr>
            <w:r>
              <w:rPr>
                <w:rFonts w:ascii="Arial" w:cs="Arial" w:eastAsia="Arial" w:hAnsi="Arial"/>
                <w:sz w:val="14"/>
                <w:szCs w:val="14"/>
                <w:color w:val="auto"/>
              </w:rPr>
              <w:t>2024</w:t>
            </w:r>
          </w:p>
        </w:tc>
        <w:tc>
          <w:tcPr>
            <w:tcW w:w="760" w:type="dxa"/>
            <w:vAlign w:val="bottom"/>
          </w:tcPr>
          <w:p>
            <w:pPr>
              <w:jc w:val="right"/>
              <w:spacing w:after="0"/>
              <w:rPr>
                <w:sz w:val="20"/>
                <w:szCs w:val="20"/>
                <w:color w:val="auto"/>
              </w:rPr>
            </w:pPr>
            <w:r>
              <w:rPr>
                <w:rFonts w:ascii="Arial" w:cs="Arial" w:eastAsia="Arial" w:hAnsi="Arial"/>
                <w:sz w:val="14"/>
                <w:szCs w:val="14"/>
                <w:color w:val="auto"/>
              </w:rPr>
              <w:t>508,148</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4,467,527</w:t>
            </w:r>
          </w:p>
        </w:tc>
        <w:tc>
          <w:tcPr>
            <w:tcW w:w="840" w:type="dxa"/>
            <w:vAlign w:val="bottom"/>
          </w:tcPr>
          <w:p>
            <w:pPr>
              <w:jc w:val="right"/>
              <w:spacing w:after="0"/>
              <w:rPr>
                <w:sz w:val="20"/>
                <w:szCs w:val="20"/>
                <w:color w:val="auto"/>
              </w:rPr>
            </w:pPr>
            <w:r>
              <w:rPr>
                <w:rFonts w:ascii="Arial" w:cs="Arial" w:eastAsia="Arial" w:hAnsi="Arial"/>
                <w:sz w:val="14"/>
                <w:szCs w:val="14"/>
                <w:color w:val="auto"/>
              </w:rPr>
              <w:t>1,200,005</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521,508</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6,697,188</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Arial" w:cs="Arial" w:eastAsia="Arial" w:hAnsi="Arial"/>
                <w:sz w:val="14"/>
                <w:szCs w:val="14"/>
                <w:color w:val="auto"/>
              </w:rPr>
              <w:t>Payments and Strategic Transformation</w:t>
            </w: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2023</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503,091</w:t>
            </w:r>
          </w:p>
        </w:tc>
        <w:tc>
          <w:tcPr>
            <w:tcW w:w="760" w:type="dxa"/>
            <w:vAlign w:val="bottom"/>
            <w:vMerge w:val="restart"/>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2,610,830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1,200,051</w:t>
            </w: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color w:val="auto"/>
              </w:rPr>
              <w:t>47,199</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4,361,171</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00" w:type="dxa"/>
            <w:vAlign w:val="bottom"/>
            <w:shd w:val="clear" w:color="auto" w:fill="F1F2F2"/>
          </w:tcPr>
          <w:p>
            <w:pPr>
              <w:spacing w:after="0"/>
              <w:rPr>
                <w:sz w:val="22"/>
                <w:szCs w:val="22"/>
                <w:color w:val="auto"/>
              </w:rPr>
            </w:pPr>
          </w:p>
        </w:tc>
        <w:tc>
          <w:tcPr>
            <w:tcW w:w="280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Alan King</w:t>
            </w:r>
            <w:r>
              <w:rPr>
                <w:rFonts w:ascii="Arial" w:cs="Arial" w:eastAsia="Arial" w:hAnsi="Arial"/>
                <w:sz w:val="18"/>
                <w:szCs w:val="18"/>
                <w:b w:val="1"/>
                <w:bCs w:val="1"/>
                <w:color w:val="auto"/>
                <w:vertAlign w:val="superscript"/>
              </w:rPr>
              <w:t>(6)</w:t>
            </w:r>
          </w:p>
        </w:tc>
        <w:tc>
          <w:tcPr>
            <w:tcW w:w="580" w:type="dxa"/>
            <w:vAlign w:val="bottom"/>
            <w:shd w:val="clear" w:color="auto" w:fill="F1F2F2"/>
          </w:tcPr>
          <w:p>
            <w:pPr>
              <w:ind w:left="120"/>
              <w:spacing w:after="0"/>
              <w:rPr>
                <w:sz w:val="20"/>
                <w:szCs w:val="20"/>
                <w:color w:val="auto"/>
              </w:rPr>
            </w:pPr>
            <w:r>
              <w:rPr>
                <w:rFonts w:ascii="Arial" w:cs="Arial" w:eastAsia="Arial" w:hAnsi="Arial"/>
                <w:sz w:val="14"/>
                <w:szCs w:val="14"/>
                <w:color w:val="auto"/>
              </w:rPr>
              <w:t>2025</w:t>
            </w:r>
          </w:p>
        </w:tc>
        <w:tc>
          <w:tcPr>
            <w:tcW w:w="760" w:type="dxa"/>
            <w:vAlign w:val="bottom"/>
            <w:shd w:val="clear" w:color="auto" w:fill="F1F2F2"/>
          </w:tcPr>
          <w:p>
            <w:pPr>
              <w:jc w:val="right"/>
              <w:spacing w:after="0"/>
              <w:rPr>
                <w:sz w:val="20"/>
                <w:szCs w:val="20"/>
                <w:color w:val="auto"/>
              </w:rPr>
            </w:pPr>
            <w:r>
              <w:rPr>
                <w:rFonts w:ascii="Arial" w:cs="Arial" w:eastAsia="Arial" w:hAnsi="Arial"/>
                <w:sz w:val="14"/>
                <w:szCs w:val="14"/>
                <w:color w:val="auto"/>
              </w:rPr>
              <w:t>489,055</w:t>
            </w:r>
          </w:p>
        </w:tc>
        <w:tc>
          <w:tcPr>
            <w:tcW w:w="760" w:type="dxa"/>
            <w:vAlign w:val="bottom"/>
            <w:shd w:val="clear" w:color="auto" w:fill="F1F2F2"/>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2,051,434</w:t>
            </w:r>
          </w:p>
        </w:tc>
        <w:tc>
          <w:tcPr>
            <w:tcW w:w="8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7,489,090</w:t>
            </w:r>
          </w:p>
        </w:tc>
        <w:tc>
          <w:tcPr>
            <w:tcW w:w="134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515,912</w:t>
            </w:r>
          </w:p>
        </w:tc>
        <w:tc>
          <w:tcPr>
            <w:tcW w:w="10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10,545,491</w:t>
            </w:r>
          </w:p>
        </w:tc>
        <w:tc>
          <w:tcPr>
            <w:tcW w:w="0" w:type="dxa"/>
            <w:vAlign w:val="bottom"/>
          </w:tcPr>
          <w:p>
            <w:pPr>
              <w:spacing w:after="0"/>
              <w:rPr>
                <w:sz w:val="1"/>
                <w:szCs w:val="1"/>
                <w:color w:val="auto"/>
              </w:rPr>
            </w:pPr>
          </w:p>
        </w:tc>
      </w:tr>
      <w:tr>
        <w:trPr>
          <w:trHeight w:val="120"/>
        </w:trPr>
        <w:tc>
          <w:tcPr>
            <w:tcW w:w="100" w:type="dxa"/>
            <w:vAlign w:val="bottom"/>
            <w:shd w:val="clear" w:color="auto" w:fill="F1F2F2"/>
          </w:tcPr>
          <w:p>
            <w:pPr>
              <w:spacing w:after="0"/>
              <w:rPr>
                <w:sz w:val="10"/>
                <w:szCs w:val="10"/>
                <w:color w:val="auto"/>
              </w:rPr>
            </w:pPr>
          </w:p>
        </w:tc>
        <w:tc>
          <w:tcPr>
            <w:tcW w:w="2800" w:type="dxa"/>
            <w:vAlign w:val="bottom"/>
            <w:vMerge w:val="continue"/>
            <w:shd w:val="clear" w:color="auto" w:fill="F1F2F2"/>
          </w:tcPr>
          <w:p>
            <w:pPr>
              <w:spacing w:after="0"/>
              <w:rPr>
                <w:sz w:val="10"/>
                <w:szCs w:val="10"/>
                <w:color w:val="auto"/>
              </w:rPr>
            </w:pPr>
          </w:p>
        </w:tc>
        <w:tc>
          <w:tcPr>
            <w:tcW w:w="580" w:type="dxa"/>
            <w:vAlign w:val="bottom"/>
            <w:shd w:val="clear" w:color="auto" w:fill="F1F2F2"/>
          </w:tcPr>
          <w:p>
            <w:pPr>
              <w:spacing w:after="0"/>
              <w:rPr>
                <w:sz w:val="10"/>
                <w:szCs w:val="10"/>
                <w:color w:val="auto"/>
              </w:rPr>
            </w:pPr>
          </w:p>
        </w:tc>
        <w:tc>
          <w:tcPr>
            <w:tcW w:w="760" w:type="dxa"/>
            <w:vAlign w:val="bottom"/>
            <w:shd w:val="clear" w:color="auto" w:fill="F1F2F2"/>
          </w:tcPr>
          <w:p>
            <w:pPr>
              <w:spacing w:after="0"/>
              <w:rPr>
                <w:sz w:val="10"/>
                <w:szCs w:val="10"/>
                <w:color w:val="auto"/>
              </w:rPr>
            </w:pPr>
          </w:p>
        </w:tc>
        <w:tc>
          <w:tcPr>
            <w:tcW w:w="760" w:type="dxa"/>
            <w:vAlign w:val="bottom"/>
            <w:shd w:val="clear" w:color="auto" w:fill="F1F2F2"/>
          </w:tcPr>
          <w:p>
            <w:pPr>
              <w:spacing w:after="0"/>
              <w:rPr>
                <w:sz w:val="10"/>
                <w:szCs w:val="10"/>
                <w:color w:val="auto"/>
              </w:rPr>
            </w:pPr>
          </w:p>
        </w:tc>
        <w:tc>
          <w:tcPr>
            <w:tcW w:w="880" w:type="dxa"/>
            <w:vAlign w:val="bottom"/>
            <w:shd w:val="clear" w:color="auto" w:fill="F1F2F2"/>
          </w:tcPr>
          <w:p>
            <w:pPr>
              <w:spacing w:after="0"/>
              <w:rPr>
                <w:sz w:val="10"/>
                <w:szCs w:val="10"/>
                <w:color w:val="auto"/>
              </w:rPr>
            </w:pPr>
          </w:p>
        </w:tc>
        <w:tc>
          <w:tcPr>
            <w:tcW w:w="840" w:type="dxa"/>
            <w:vAlign w:val="bottom"/>
            <w:shd w:val="clear" w:color="auto" w:fill="F1F2F2"/>
          </w:tcPr>
          <w:p>
            <w:pPr>
              <w:spacing w:after="0"/>
              <w:rPr>
                <w:sz w:val="10"/>
                <w:szCs w:val="10"/>
                <w:color w:val="auto"/>
              </w:rPr>
            </w:pPr>
          </w:p>
        </w:tc>
        <w:tc>
          <w:tcPr>
            <w:tcW w:w="1340" w:type="dxa"/>
            <w:vAlign w:val="bottom"/>
            <w:shd w:val="clear" w:color="auto" w:fill="F1F2F2"/>
          </w:tcPr>
          <w:p>
            <w:pPr>
              <w:spacing w:after="0"/>
              <w:rPr>
                <w:sz w:val="10"/>
                <w:szCs w:val="10"/>
                <w:color w:val="auto"/>
              </w:rPr>
            </w:pPr>
          </w:p>
        </w:tc>
        <w:tc>
          <w:tcPr>
            <w:tcW w:w="1020" w:type="dxa"/>
            <w:vAlign w:val="bottom"/>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F1F2F2"/>
          </w:tcPr>
          <w:p>
            <w:pPr>
              <w:spacing w:after="0"/>
              <w:rPr>
                <w:sz w:val="15"/>
                <w:szCs w:val="15"/>
                <w:color w:val="auto"/>
              </w:rPr>
            </w:pPr>
          </w:p>
        </w:tc>
        <w:tc>
          <w:tcPr>
            <w:tcW w:w="2800" w:type="dxa"/>
            <w:vAlign w:val="bottom"/>
            <w:shd w:val="clear" w:color="auto" w:fill="F1F2F2"/>
          </w:tcPr>
          <w:p>
            <w:pPr>
              <w:ind w:left="40"/>
              <w:spacing w:after="0"/>
              <w:rPr>
                <w:sz w:val="20"/>
                <w:szCs w:val="20"/>
                <w:color w:val="auto"/>
              </w:rPr>
            </w:pPr>
            <w:r>
              <w:rPr>
                <w:rFonts w:ascii="Arial" w:cs="Arial" w:eastAsia="Arial" w:hAnsi="Arial"/>
                <w:sz w:val="14"/>
                <w:szCs w:val="14"/>
                <w:color w:val="auto"/>
              </w:rPr>
              <w:t>Group President, International Vehicle</w:t>
            </w:r>
          </w:p>
        </w:tc>
        <w:tc>
          <w:tcPr>
            <w:tcW w:w="580" w:type="dxa"/>
            <w:vAlign w:val="bottom"/>
            <w:shd w:val="clear" w:color="auto" w:fill="F1F2F2"/>
          </w:tcPr>
          <w:p>
            <w:pPr>
              <w:ind w:left="120"/>
              <w:spacing w:after="0"/>
              <w:rPr>
                <w:sz w:val="20"/>
                <w:szCs w:val="20"/>
                <w:color w:val="auto"/>
              </w:rPr>
            </w:pPr>
            <w:r>
              <w:rPr>
                <w:rFonts w:ascii="Arial" w:cs="Arial" w:eastAsia="Arial" w:hAnsi="Arial"/>
                <w:sz w:val="14"/>
                <w:szCs w:val="14"/>
                <w:color w:val="auto"/>
              </w:rPr>
              <w:t>2024</w:t>
            </w:r>
          </w:p>
        </w:tc>
        <w:tc>
          <w:tcPr>
            <w:tcW w:w="760" w:type="dxa"/>
            <w:vAlign w:val="bottom"/>
            <w:shd w:val="clear" w:color="auto" w:fill="F1F2F2"/>
          </w:tcPr>
          <w:p>
            <w:pPr>
              <w:jc w:val="right"/>
              <w:spacing w:after="0"/>
              <w:rPr>
                <w:sz w:val="20"/>
                <w:szCs w:val="20"/>
                <w:color w:val="auto"/>
              </w:rPr>
            </w:pPr>
            <w:r>
              <w:rPr>
                <w:rFonts w:ascii="Arial" w:cs="Arial" w:eastAsia="Arial" w:hAnsi="Arial"/>
                <w:sz w:val="14"/>
                <w:szCs w:val="14"/>
                <w:color w:val="auto"/>
              </w:rPr>
              <w:t>450,000</w:t>
            </w:r>
          </w:p>
        </w:tc>
        <w:tc>
          <w:tcPr>
            <w:tcW w:w="760" w:type="dxa"/>
            <w:vAlign w:val="bottom"/>
            <w:shd w:val="clear" w:color="auto" w:fill="F1F2F2"/>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2,250,404</w:t>
            </w:r>
          </w:p>
        </w:tc>
        <w:tc>
          <w:tcPr>
            <w:tcW w:w="8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1,000,020</w:t>
            </w:r>
          </w:p>
        </w:tc>
        <w:tc>
          <w:tcPr>
            <w:tcW w:w="134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399,459</w:t>
            </w:r>
          </w:p>
        </w:tc>
        <w:tc>
          <w:tcPr>
            <w:tcW w:w="102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4,099,883</w:t>
            </w:r>
          </w:p>
        </w:tc>
        <w:tc>
          <w:tcPr>
            <w:tcW w:w="0" w:type="dxa"/>
            <w:vAlign w:val="bottom"/>
          </w:tcPr>
          <w:p>
            <w:pPr>
              <w:spacing w:after="0"/>
              <w:rPr>
                <w:sz w:val="1"/>
                <w:szCs w:val="1"/>
                <w:color w:val="auto"/>
              </w:rPr>
            </w:pPr>
          </w:p>
        </w:tc>
      </w:tr>
      <w:tr>
        <w:trPr>
          <w:trHeight w:val="190"/>
        </w:trPr>
        <w:tc>
          <w:tcPr>
            <w:tcW w:w="100" w:type="dxa"/>
            <w:vAlign w:val="bottom"/>
            <w:shd w:val="clear" w:color="auto" w:fill="F1F2F2"/>
          </w:tcPr>
          <w:p>
            <w:pPr>
              <w:spacing w:after="0"/>
              <w:rPr>
                <w:sz w:val="16"/>
                <w:szCs w:val="16"/>
                <w:color w:val="auto"/>
              </w:rPr>
            </w:pPr>
          </w:p>
        </w:tc>
        <w:tc>
          <w:tcPr>
            <w:tcW w:w="2800" w:type="dxa"/>
            <w:vAlign w:val="bottom"/>
            <w:shd w:val="clear" w:color="auto" w:fill="F1F2F2"/>
          </w:tcPr>
          <w:p>
            <w:pPr>
              <w:ind w:left="40"/>
              <w:spacing w:after="0"/>
              <w:rPr>
                <w:sz w:val="20"/>
                <w:szCs w:val="20"/>
                <w:color w:val="auto"/>
              </w:rPr>
            </w:pPr>
            <w:r>
              <w:rPr>
                <w:rFonts w:ascii="Arial" w:cs="Arial" w:eastAsia="Arial" w:hAnsi="Arial"/>
                <w:sz w:val="14"/>
                <w:szCs w:val="14"/>
                <w:color w:val="auto"/>
              </w:rPr>
              <w:t>Payments</w:t>
            </w:r>
          </w:p>
        </w:tc>
        <w:tc>
          <w:tcPr>
            <w:tcW w:w="58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2023</w:t>
            </w:r>
          </w:p>
        </w:tc>
        <w:tc>
          <w:tcPr>
            <w:tcW w:w="76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450,000</w:t>
            </w:r>
          </w:p>
        </w:tc>
        <w:tc>
          <w:tcPr>
            <w:tcW w:w="760" w:type="dxa"/>
            <w:vAlign w:val="bottom"/>
            <w:vMerge w:val="restart"/>
            <w:shd w:val="clear" w:color="auto" w:fill="F1F2F2"/>
          </w:tcPr>
          <w:p>
            <w:pPr>
              <w:jc w:val="center"/>
              <w:ind w:left="388"/>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2,302,532</w:t>
            </w:r>
          </w:p>
        </w:tc>
        <w:tc>
          <w:tcPr>
            <w:tcW w:w="84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1,200,051</w:t>
            </w:r>
          </w:p>
        </w:tc>
        <w:tc>
          <w:tcPr>
            <w:tcW w:w="1340" w:type="dxa"/>
            <w:vAlign w:val="bottom"/>
            <w:vMerge w:val="restart"/>
            <w:shd w:val="clear" w:color="auto" w:fill="F1F2F2"/>
          </w:tcPr>
          <w:p>
            <w:pPr>
              <w:jc w:val="right"/>
              <w:ind w:right="108"/>
              <w:spacing w:after="0"/>
              <w:rPr>
                <w:sz w:val="20"/>
                <w:szCs w:val="20"/>
                <w:color w:val="auto"/>
              </w:rPr>
            </w:pPr>
            <w:r>
              <w:rPr>
                <w:rFonts w:ascii="Arial" w:cs="Arial" w:eastAsia="Arial" w:hAnsi="Arial"/>
                <w:sz w:val="14"/>
                <w:szCs w:val="14"/>
                <w:color w:val="auto"/>
              </w:rPr>
              <w:t>411,343</w:t>
            </w:r>
          </w:p>
        </w:tc>
        <w:tc>
          <w:tcPr>
            <w:tcW w:w="1020" w:type="dxa"/>
            <w:vAlign w:val="bottom"/>
            <w:vMerge w:val="restart"/>
            <w:shd w:val="clear" w:color="auto" w:fill="F1F2F2"/>
          </w:tcPr>
          <w:p>
            <w:pPr>
              <w:jc w:val="right"/>
              <w:ind w:right="88"/>
              <w:spacing w:after="0"/>
              <w:rPr>
                <w:sz w:val="20"/>
                <w:szCs w:val="20"/>
                <w:color w:val="auto"/>
              </w:rPr>
            </w:pPr>
            <w:r>
              <w:rPr>
                <w:rFonts w:ascii="Arial" w:cs="Arial" w:eastAsia="Arial" w:hAnsi="Arial"/>
                <w:sz w:val="14"/>
                <w:szCs w:val="14"/>
                <w:color w:val="auto"/>
              </w:rPr>
              <w:t>4,363,926</w:t>
            </w:r>
          </w:p>
        </w:tc>
        <w:tc>
          <w:tcPr>
            <w:tcW w:w="0" w:type="dxa"/>
            <w:vAlign w:val="bottom"/>
          </w:tcPr>
          <w:p>
            <w:pPr>
              <w:spacing w:after="0"/>
              <w:rPr>
                <w:sz w:val="1"/>
                <w:szCs w:val="1"/>
                <w:color w:val="auto"/>
              </w:rPr>
            </w:pPr>
          </w:p>
        </w:tc>
      </w:tr>
      <w:tr>
        <w:trPr>
          <w:trHeight w:val="163"/>
        </w:trPr>
        <w:tc>
          <w:tcPr>
            <w:tcW w:w="100" w:type="dxa"/>
            <w:vAlign w:val="bottom"/>
            <w:tcBorders>
              <w:bottom w:val="single" w:sz="8" w:color="F1F2F2"/>
            </w:tcBorders>
            <w:shd w:val="clear" w:color="auto" w:fill="F1F2F2"/>
          </w:tcPr>
          <w:p>
            <w:pPr>
              <w:spacing w:after="0"/>
              <w:rPr>
                <w:sz w:val="14"/>
                <w:szCs w:val="14"/>
                <w:color w:val="auto"/>
              </w:rPr>
            </w:pPr>
          </w:p>
        </w:tc>
        <w:tc>
          <w:tcPr>
            <w:tcW w:w="2800" w:type="dxa"/>
            <w:vAlign w:val="bottom"/>
            <w:tcBorders>
              <w:bottom w:val="single" w:sz="8" w:color="F1F2F2"/>
            </w:tcBorders>
            <w:shd w:val="clear" w:color="auto" w:fill="F1F2F2"/>
          </w:tcPr>
          <w:p>
            <w:pPr>
              <w:spacing w:after="0"/>
              <w:rPr>
                <w:sz w:val="14"/>
                <w:szCs w:val="14"/>
                <w:color w:val="auto"/>
              </w:rPr>
            </w:pPr>
          </w:p>
        </w:tc>
        <w:tc>
          <w:tcPr>
            <w:tcW w:w="580" w:type="dxa"/>
            <w:vAlign w:val="bottom"/>
            <w:tcBorders>
              <w:bottom w:val="single" w:sz="8" w:color="F1F2F2"/>
            </w:tcBorders>
            <w:vMerge w:val="continue"/>
            <w:shd w:val="clear" w:color="auto" w:fill="F1F2F2"/>
          </w:tcPr>
          <w:p>
            <w:pPr>
              <w:spacing w:after="0"/>
              <w:rPr>
                <w:sz w:val="14"/>
                <w:szCs w:val="14"/>
                <w:color w:val="auto"/>
              </w:rPr>
            </w:pPr>
          </w:p>
        </w:tc>
        <w:tc>
          <w:tcPr>
            <w:tcW w:w="760" w:type="dxa"/>
            <w:vAlign w:val="bottom"/>
            <w:tcBorders>
              <w:bottom w:val="single" w:sz="8" w:color="F1F2F2"/>
            </w:tcBorders>
            <w:vMerge w:val="continue"/>
            <w:shd w:val="clear" w:color="auto" w:fill="F1F2F2"/>
          </w:tcPr>
          <w:p>
            <w:pPr>
              <w:spacing w:after="0"/>
              <w:rPr>
                <w:sz w:val="14"/>
                <w:szCs w:val="14"/>
                <w:color w:val="auto"/>
              </w:rPr>
            </w:pPr>
          </w:p>
        </w:tc>
        <w:tc>
          <w:tcPr>
            <w:tcW w:w="760" w:type="dxa"/>
            <w:vAlign w:val="bottom"/>
            <w:tcBorders>
              <w:bottom w:val="single" w:sz="8" w:color="F1F2F2"/>
            </w:tcBorders>
            <w:vMerge w:val="continue"/>
            <w:shd w:val="clear" w:color="auto" w:fill="F1F2F2"/>
          </w:tcPr>
          <w:p>
            <w:pPr>
              <w:spacing w:after="0"/>
              <w:rPr>
                <w:sz w:val="14"/>
                <w:szCs w:val="14"/>
                <w:color w:val="auto"/>
              </w:rPr>
            </w:pPr>
          </w:p>
        </w:tc>
        <w:tc>
          <w:tcPr>
            <w:tcW w:w="880" w:type="dxa"/>
            <w:vAlign w:val="bottom"/>
            <w:tcBorders>
              <w:bottom w:val="single" w:sz="8" w:color="F1F2F2"/>
            </w:tcBorders>
            <w:vMerge w:val="continue"/>
            <w:shd w:val="clear" w:color="auto" w:fill="F1F2F2"/>
          </w:tcPr>
          <w:p>
            <w:pPr>
              <w:spacing w:after="0"/>
              <w:rPr>
                <w:sz w:val="14"/>
                <w:szCs w:val="14"/>
                <w:color w:val="auto"/>
              </w:rPr>
            </w:pPr>
          </w:p>
        </w:tc>
        <w:tc>
          <w:tcPr>
            <w:tcW w:w="840" w:type="dxa"/>
            <w:vAlign w:val="bottom"/>
            <w:tcBorders>
              <w:bottom w:val="single" w:sz="8" w:color="F1F2F2"/>
            </w:tcBorders>
            <w:vMerge w:val="continue"/>
            <w:shd w:val="clear" w:color="auto" w:fill="F1F2F2"/>
          </w:tcPr>
          <w:p>
            <w:pPr>
              <w:spacing w:after="0"/>
              <w:rPr>
                <w:sz w:val="14"/>
                <w:szCs w:val="14"/>
                <w:color w:val="auto"/>
              </w:rPr>
            </w:pPr>
          </w:p>
        </w:tc>
        <w:tc>
          <w:tcPr>
            <w:tcW w:w="1340" w:type="dxa"/>
            <w:vAlign w:val="bottom"/>
            <w:tcBorders>
              <w:bottom w:val="single" w:sz="8" w:color="F1F2F2"/>
            </w:tcBorders>
            <w:vMerge w:val="continue"/>
            <w:shd w:val="clear" w:color="auto" w:fill="F1F2F2"/>
          </w:tcPr>
          <w:p>
            <w:pPr>
              <w:spacing w:after="0"/>
              <w:rPr>
                <w:sz w:val="14"/>
                <w:szCs w:val="14"/>
                <w:color w:val="auto"/>
              </w:rPr>
            </w:pPr>
          </w:p>
        </w:tc>
        <w:tc>
          <w:tcPr>
            <w:tcW w:w="1020" w:type="dxa"/>
            <w:vAlign w:val="bottom"/>
            <w:tcBorders>
              <w:bottom w:val="single" w:sz="8" w:color="F1F2F2"/>
            </w:tcBorders>
            <w:vMerge w:val="continue"/>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43776"/>
          </w:tcPr>
          <w:p>
            <w:pPr>
              <w:spacing w:after="0" w:line="20" w:lineRule="exact"/>
              <w:rPr>
                <w:sz w:val="1"/>
                <w:szCs w:val="1"/>
                <w:color w:val="auto"/>
              </w:rPr>
            </w:pPr>
          </w:p>
        </w:tc>
        <w:tc>
          <w:tcPr>
            <w:tcW w:w="2800" w:type="dxa"/>
            <w:vAlign w:val="bottom"/>
            <w:shd w:val="clear" w:color="auto" w:fill="C43776"/>
          </w:tcPr>
          <w:p>
            <w:pPr>
              <w:spacing w:after="0" w:line="20" w:lineRule="exact"/>
              <w:rPr>
                <w:sz w:val="1"/>
                <w:szCs w:val="1"/>
                <w:color w:val="auto"/>
              </w:rPr>
            </w:pPr>
          </w:p>
        </w:tc>
        <w:tc>
          <w:tcPr>
            <w:tcW w:w="580" w:type="dxa"/>
            <w:vAlign w:val="bottom"/>
            <w:shd w:val="clear" w:color="auto" w:fill="C43776"/>
          </w:tcPr>
          <w:p>
            <w:pPr>
              <w:spacing w:after="0" w:line="20" w:lineRule="exact"/>
              <w:rPr>
                <w:sz w:val="1"/>
                <w:szCs w:val="1"/>
                <w:color w:val="auto"/>
              </w:rPr>
            </w:pPr>
          </w:p>
        </w:tc>
        <w:tc>
          <w:tcPr>
            <w:tcW w:w="760" w:type="dxa"/>
            <w:vAlign w:val="bottom"/>
            <w:shd w:val="clear" w:color="auto" w:fill="C43776"/>
          </w:tcPr>
          <w:p>
            <w:pPr>
              <w:spacing w:after="0" w:line="20" w:lineRule="exact"/>
              <w:rPr>
                <w:sz w:val="1"/>
                <w:szCs w:val="1"/>
                <w:color w:val="auto"/>
              </w:rPr>
            </w:pPr>
          </w:p>
        </w:tc>
        <w:tc>
          <w:tcPr>
            <w:tcW w:w="760" w:type="dxa"/>
            <w:vAlign w:val="bottom"/>
            <w:shd w:val="clear" w:color="auto" w:fill="C43776"/>
          </w:tcPr>
          <w:p>
            <w:pPr>
              <w:spacing w:after="0" w:line="20" w:lineRule="exact"/>
              <w:rPr>
                <w:sz w:val="1"/>
                <w:szCs w:val="1"/>
                <w:color w:val="auto"/>
              </w:rPr>
            </w:pPr>
          </w:p>
        </w:tc>
        <w:tc>
          <w:tcPr>
            <w:tcW w:w="880" w:type="dxa"/>
            <w:vAlign w:val="bottom"/>
            <w:shd w:val="clear" w:color="auto" w:fill="C43776"/>
          </w:tcPr>
          <w:p>
            <w:pPr>
              <w:spacing w:after="0" w:line="20" w:lineRule="exact"/>
              <w:rPr>
                <w:sz w:val="1"/>
                <w:szCs w:val="1"/>
                <w:color w:val="auto"/>
              </w:rPr>
            </w:pPr>
          </w:p>
        </w:tc>
        <w:tc>
          <w:tcPr>
            <w:tcW w:w="840" w:type="dxa"/>
            <w:vAlign w:val="bottom"/>
            <w:shd w:val="clear" w:color="auto" w:fill="C43776"/>
          </w:tcPr>
          <w:p>
            <w:pPr>
              <w:spacing w:after="0" w:line="20" w:lineRule="exact"/>
              <w:rPr>
                <w:sz w:val="1"/>
                <w:szCs w:val="1"/>
                <w:color w:val="auto"/>
              </w:rPr>
            </w:pPr>
          </w:p>
        </w:tc>
        <w:tc>
          <w:tcPr>
            <w:tcW w:w="1340" w:type="dxa"/>
            <w:vAlign w:val="bottom"/>
            <w:shd w:val="clear" w:color="auto" w:fill="C43776"/>
          </w:tcPr>
          <w:p>
            <w:pPr>
              <w:spacing w:after="0" w:line="20" w:lineRule="exact"/>
              <w:rPr>
                <w:sz w:val="1"/>
                <w:szCs w:val="1"/>
                <w:color w:val="auto"/>
              </w:rPr>
            </w:pPr>
          </w:p>
        </w:tc>
        <w:tc>
          <w:tcPr>
            <w:tcW w:w="1020" w:type="dxa"/>
            <w:vAlign w:val="bottom"/>
            <w:shd w:val="clear" w:color="auto" w:fill="C4377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salary earned for the applicable year.</w:t>
      </w:r>
    </w:p>
    <w:p>
      <w:pPr>
        <w:spacing w:after="0" w:line="53" w:lineRule="exact"/>
        <w:rPr>
          <w:rFonts w:ascii="Arial" w:cs="Arial" w:eastAsia="Arial" w:hAnsi="Arial"/>
          <w:sz w:val="13"/>
          <w:szCs w:val="13"/>
          <w:i w:val="1"/>
          <w:iCs w:val="1"/>
          <w:color w:val="auto"/>
        </w:rPr>
      </w:pPr>
    </w:p>
    <w:p>
      <w:pPr>
        <w:ind w:left="340" w:right="100" w:hanging="332"/>
        <w:spacing w:after="0" w:line="260" w:lineRule="auto"/>
        <w:tabs>
          <w:tab w:leader="none" w:pos="340" w:val="left"/>
        </w:tabs>
        <w:numPr>
          <w:ilvl w:val="0"/>
          <w:numId w:val="49"/>
        </w:numPr>
        <w:rPr>
          <w:rFonts w:ascii="Arial" w:cs="Arial" w:eastAsia="Arial" w:hAnsi="Arial"/>
          <w:sz w:val="13"/>
          <w:szCs w:val="13"/>
          <w:i w:val="1"/>
          <w:iCs w:val="1"/>
          <w:color w:val="auto"/>
        </w:rPr>
      </w:pPr>
      <w:r>
        <w:rPr>
          <w:rFonts w:ascii="Arial" w:cs="Arial" w:eastAsia="Arial" w:hAnsi="Arial"/>
          <w:sz w:val="13"/>
          <w:szCs w:val="13"/>
          <w:i w:val="1"/>
          <w:iCs w:val="1"/>
          <w:color w:val="auto"/>
        </w:rPr>
        <w:t>We did not offer a traditional cash bonus or non-equity incentive plan compensation to our NEOs during the last three years. For information concerning the comparable compensation offered in the form of equity awards, see “Compensation Discussion and Analysis—Key Elements of 2025 Named Executive Officer Compensation—Performance-Based Equity—Annual Bonus Equity Incentive.”</w:t>
      </w:r>
    </w:p>
    <w:p>
      <w:pPr>
        <w:spacing w:after="0" w:line="27" w:lineRule="exact"/>
        <w:rPr>
          <w:rFonts w:ascii="Arial" w:cs="Arial" w:eastAsia="Arial" w:hAnsi="Arial"/>
          <w:sz w:val="13"/>
          <w:szCs w:val="13"/>
          <w:i w:val="1"/>
          <w:iCs w:val="1"/>
          <w:color w:val="auto"/>
        </w:rPr>
      </w:pPr>
    </w:p>
    <w:p>
      <w:pPr>
        <w:ind w:left="340" w:right="60" w:hanging="332"/>
        <w:spacing w:after="0" w:line="245" w:lineRule="auto"/>
        <w:tabs>
          <w:tab w:leader="none" w:pos="340" w:val="left"/>
        </w:tabs>
        <w:numPr>
          <w:ilvl w:val="0"/>
          <w:numId w:val="49"/>
        </w:numPr>
        <w:rPr>
          <w:rFonts w:ascii="Arial" w:cs="Arial" w:eastAsia="Arial" w:hAnsi="Arial"/>
          <w:sz w:val="13"/>
          <w:szCs w:val="13"/>
          <w:i w:val="1"/>
          <w:iCs w:val="1"/>
          <w:color w:val="auto"/>
        </w:rPr>
      </w:pPr>
      <w:r>
        <w:rPr>
          <w:rFonts w:ascii="Arial" w:cs="Arial" w:eastAsia="Arial" w:hAnsi="Arial"/>
          <w:sz w:val="13"/>
          <w:szCs w:val="13"/>
          <w:i w:val="1"/>
          <w:iCs w:val="1"/>
          <w:color w:val="auto"/>
        </w:rPr>
        <w:t>Includes the aggregate grant date fair value for stock awards, computed in accordance with FASB ASC Topic 718. The assumptions used to value these awards can be found in Note 6 to the financial statements included in our Annual Report on Form 10-K for the year ended December 31, 2025. For an overview of the features of the 2025 awards, see “Compensation Discussion and Analysis—Key Elements of 2025 Named Executive Officer Compensation —Equity Incentives.” Grant date fair values for performance-based equity are computed based on the probable outcome of the performance conditions as of the grant date for the award. The grant date fair value of the performance-based equity awards, assuming maximum performance with respect to the applicable performance goals, would be as follows: $4,000,241 for Mr. Clarke; $1,055,352 for Mr. Walker; $420,106 for Ms. Vickery; $3,072,435 for Mr. Netto; and $2,332,530 for Mr. King.</w:t>
      </w:r>
    </w:p>
    <w:p>
      <w:pPr>
        <w:spacing w:after="0" w:line="38" w:lineRule="exact"/>
        <w:rPr>
          <w:rFonts w:ascii="Arial" w:cs="Arial" w:eastAsia="Arial" w:hAnsi="Arial"/>
          <w:sz w:val="13"/>
          <w:szCs w:val="13"/>
          <w:i w:val="1"/>
          <w:iCs w:val="1"/>
          <w:color w:val="auto"/>
        </w:rPr>
      </w:pPr>
    </w:p>
    <w:p>
      <w:pPr>
        <w:ind w:left="340" w:right="140" w:hanging="332"/>
        <w:spacing w:after="0" w:line="272" w:lineRule="auto"/>
        <w:tabs>
          <w:tab w:leader="none" w:pos="340" w:val="left"/>
        </w:tabs>
        <w:numPr>
          <w:ilvl w:val="0"/>
          <w:numId w:val="49"/>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the aggregate grant date fair value for the stock option awards, computed in accordance with FASB ASC Topic 718. The assumptions used to value these awards can be found in Note 6 to the financial statements included in our Annual Report on Form 10-K for the year ended December 31, 2025. For an overview of the features of the 2025 awards, see “Compensation Discussion and Analysis—Key Elements of 2025 Named Executive Officer Compensation—Equity Incentives.” In 2025, the Company modified the performance-based stock options granted to Mr. King in 2021 (“Mr. King’s Modified Options”) as a result of Mr. King’s role transition that occurred during the performance period. Due to modification, $1,089,000 of the value in this column represents the incremental fair value associated with Mr. King’s Modified Options. It does not represent a “new” equity award grant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45</w:t>
      </w:r>
    </w:p>
    <w:p>
      <w:pPr>
        <w:sectPr>
          <w:pgSz w:w="11900" w:h="16838" w:orient="portrait"/>
          <w:cols w:equalWidth="0" w:num="1">
            <w:col w:w="9080"/>
          </w:cols>
          <w:pgMar w:left="1400" w:top="1440" w:right="1419" w:bottom="1440" w:gutter="0" w:footer="0" w:header="0"/>
        </w:sectPr>
      </w:pPr>
    </w:p>
    <w:bookmarkStart w:id="51" w:name="page52"/>
    <w:bookmarkEnd w:id="51"/>
    <w:p>
      <w:pPr>
        <w:ind w:left="52"/>
        <w:spacing w:after="0"/>
        <w:tabs>
          <w:tab w:leader="none" w:pos="8032"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06. 2025 NAMED EXECUTIVE OFFICER COMPENSATION</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2" w:hanging="332"/>
        <w:spacing w:after="0"/>
        <w:tabs>
          <w:tab w:leader="none" w:pos="332"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The table below illustrates the amounts included in the “All Other Compensation” column for 2025:</w:t>
      </w:r>
    </w:p>
    <w:p>
      <w:pPr>
        <w:spacing w:after="0" w:line="190" w:lineRule="exact"/>
        <w:rPr>
          <w:sz w:val="20"/>
          <w:szCs w:val="20"/>
          <w:color w:val="auto"/>
        </w:rPr>
      </w:pPr>
    </w:p>
    <w:tbl>
      <w:tblPr>
        <w:tblLayout w:type="fixed"/>
        <w:tblInd w:w="332" w:type="dxa"/>
        <w:tblCellMar>
          <w:top w:w="0" w:type="dxa"/>
          <w:left w:w="0" w:type="dxa"/>
          <w:bottom w:w="0" w:type="dxa"/>
          <w:right w:w="0" w:type="dxa"/>
        </w:tblCellMar>
      </w:tblPr>
      <w:tr>
        <w:trPr>
          <w:trHeight w:val="315"/>
        </w:trPr>
        <w:tc>
          <w:tcPr>
            <w:tcW w:w="1820" w:type="dxa"/>
            <w:vAlign w:val="bottom"/>
            <w:shd w:val="clear" w:color="auto" w:fill="C43776"/>
          </w:tcPr>
          <w:p>
            <w:pPr>
              <w:spacing w:after="0"/>
              <w:rPr>
                <w:sz w:val="24"/>
                <w:szCs w:val="24"/>
                <w:color w:val="auto"/>
              </w:rPr>
            </w:pPr>
          </w:p>
        </w:tc>
        <w:tc>
          <w:tcPr>
            <w:tcW w:w="100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Health</w:t>
            </w:r>
          </w:p>
        </w:tc>
        <w:tc>
          <w:tcPr>
            <w:tcW w:w="94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Long-Term</w:t>
            </w:r>
          </w:p>
        </w:tc>
        <w:tc>
          <w:tcPr>
            <w:tcW w:w="10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Retirement</w:t>
            </w:r>
          </w:p>
        </w:tc>
        <w:tc>
          <w:tcPr>
            <w:tcW w:w="1020" w:type="dxa"/>
            <w:vAlign w:val="bottom"/>
            <w:shd w:val="clear" w:color="auto" w:fill="C43776"/>
          </w:tcPr>
          <w:p>
            <w:pPr>
              <w:spacing w:after="0"/>
              <w:rPr>
                <w:sz w:val="24"/>
                <w:szCs w:val="24"/>
                <w:color w:val="auto"/>
              </w:rPr>
            </w:pPr>
          </w:p>
        </w:tc>
        <w:tc>
          <w:tcPr>
            <w:tcW w:w="1040" w:type="dxa"/>
            <w:vAlign w:val="bottom"/>
            <w:shd w:val="clear" w:color="auto" w:fill="C43776"/>
          </w:tcPr>
          <w:p>
            <w:pPr>
              <w:spacing w:after="0"/>
              <w:rPr>
                <w:sz w:val="24"/>
                <w:szCs w:val="24"/>
                <w:color w:val="auto"/>
              </w:rPr>
            </w:pPr>
          </w:p>
        </w:tc>
        <w:tc>
          <w:tcPr>
            <w:tcW w:w="960" w:type="dxa"/>
            <w:vAlign w:val="bottom"/>
            <w:shd w:val="clear" w:color="auto" w:fill="C43776"/>
          </w:tcPr>
          <w:p>
            <w:pPr>
              <w:spacing w:after="0"/>
              <w:rPr>
                <w:sz w:val="24"/>
                <w:szCs w:val="24"/>
                <w:color w:val="auto"/>
              </w:rPr>
            </w:pPr>
          </w:p>
        </w:tc>
        <w:tc>
          <w:tcPr>
            <w:tcW w:w="880" w:type="dxa"/>
            <w:vAlign w:val="bottom"/>
            <w:shd w:val="clear" w:color="auto" w:fill="C43776"/>
          </w:tcPr>
          <w:p>
            <w:pPr>
              <w:spacing w:after="0"/>
              <w:rPr>
                <w:sz w:val="24"/>
                <w:szCs w:val="24"/>
                <w:color w:val="auto"/>
              </w:rPr>
            </w:pPr>
          </w:p>
        </w:tc>
      </w:tr>
      <w:tr>
        <w:trPr>
          <w:trHeight w:val="160"/>
        </w:trPr>
        <w:tc>
          <w:tcPr>
            <w:tcW w:w="1820" w:type="dxa"/>
            <w:vAlign w:val="bottom"/>
            <w:shd w:val="clear" w:color="auto" w:fill="C43776"/>
          </w:tcPr>
          <w:p>
            <w:pPr>
              <w:spacing w:after="0"/>
              <w:rPr>
                <w:sz w:val="13"/>
                <w:szCs w:val="13"/>
                <w:color w:val="auto"/>
              </w:rPr>
            </w:pPr>
          </w:p>
        </w:tc>
        <w:tc>
          <w:tcPr>
            <w:tcW w:w="1000" w:type="dxa"/>
            <w:vAlign w:val="bottom"/>
            <w:shd w:val="clear" w:color="auto" w:fill="C43776"/>
          </w:tcPr>
          <w:p>
            <w:pPr>
              <w:jc w:val="right"/>
              <w:ind w:right="28"/>
              <w:spacing w:after="0" w:line="159" w:lineRule="exact"/>
              <w:rPr>
                <w:sz w:val="20"/>
                <w:szCs w:val="20"/>
                <w:color w:val="auto"/>
              </w:rPr>
            </w:pPr>
            <w:r>
              <w:rPr>
                <w:rFonts w:ascii="Arial" w:cs="Arial" w:eastAsia="Arial" w:hAnsi="Arial"/>
                <w:sz w:val="14"/>
                <w:szCs w:val="14"/>
                <w:b w:val="1"/>
                <w:bCs w:val="1"/>
                <w:color w:val="FFFFFF"/>
              </w:rPr>
              <w:t>Benefit</w:t>
            </w:r>
          </w:p>
        </w:tc>
        <w:tc>
          <w:tcPr>
            <w:tcW w:w="940" w:type="dxa"/>
            <w:vAlign w:val="bottom"/>
            <w:shd w:val="clear" w:color="auto" w:fill="C43776"/>
          </w:tcPr>
          <w:p>
            <w:pPr>
              <w:jc w:val="right"/>
              <w:ind w:right="8"/>
              <w:spacing w:after="0" w:line="159" w:lineRule="exact"/>
              <w:rPr>
                <w:sz w:val="20"/>
                <w:szCs w:val="20"/>
                <w:color w:val="auto"/>
              </w:rPr>
            </w:pPr>
            <w:r>
              <w:rPr>
                <w:rFonts w:ascii="Arial" w:cs="Arial" w:eastAsia="Arial" w:hAnsi="Arial"/>
                <w:sz w:val="14"/>
                <w:szCs w:val="14"/>
                <w:b w:val="1"/>
                <w:bCs w:val="1"/>
                <w:color w:val="FFFFFF"/>
              </w:rPr>
              <w:t>Care</w:t>
            </w:r>
          </w:p>
        </w:tc>
        <w:tc>
          <w:tcPr>
            <w:tcW w:w="1080" w:type="dxa"/>
            <w:vAlign w:val="bottom"/>
            <w:shd w:val="clear" w:color="auto" w:fill="C43776"/>
          </w:tcPr>
          <w:p>
            <w:pPr>
              <w:jc w:val="right"/>
              <w:ind w:right="8"/>
              <w:spacing w:after="0" w:line="159" w:lineRule="exact"/>
              <w:rPr>
                <w:sz w:val="20"/>
                <w:szCs w:val="20"/>
                <w:color w:val="auto"/>
              </w:rPr>
            </w:pPr>
            <w:r>
              <w:rPr>
                <w:rFonts w:ascii="Arial" w:cs="Arial" w:eastAsia="Arial" w:hAnsi="Arial"/>
                <w:sz w:val="14"/>
                <w:szCs w:val="14"/>
                <w:b w:val="1"/>
                <w:bCs w:val="1"/>
                <w:color w:val="FFFFFF"/>
              </w:rPr>
              <w:t>Plan</w:t>
            </w:r>
          </w:p>
        </w:tc>
        <w:tc>
          <w:tcPr>
            <w:tcW w:w="1020" w:type="dxa"/>
            <w:vAlign w:val="bottom"/>
            <w:shd w:val="clear" w:color="auto" w:fill="C43776"/>
          </w:tcPr>
          <w:p>
            <w:pPr>
              <w:jc w:val="right"/>
              <w:ind w:right="68"/>
              <w:spacing w:after="0" w:line="159" w:lineRule="exact"/>
              <w:rPr>
                <w:sz w:val="20"/>
                <w:szCs w:val="20"/>
                <w:color w:val="auto"/>
              </w:rPr>
            </w:pPr>
            <w:r>
              <w:rPr>
                <w:rFonts w:ascii="Arial" w:cs="Arial" w:eastAsia="Arial" w:hAnsi="Arial"/>
                <w:sz w:val="14"/>
                <w:szCs w:val="14"/>
                <w:b w:val="1"/>
                <w:bCs w:val="1"/>
                <w:color w:val="FFFFFF"/>
              </w:rPr>
              <w:t>Vehicle</w:t>
            </w:r>
          </w:p>
        </w:tc>
        <w:tc>
          <w:tcPr>
            <w:tcW w:w="1040" w:type="dxa"/>
            <w:vAlign w:val="bottom"/>
            <w:shd w:val="clear" w:color="auto" w:fill="C43776"/>
          </w:tcPr>
          <w:p>
            <w:pPr>
              <w:jc w:val="right"/>
              <w:ind w:right="148"/>
              <w:spacing w:after="0" w:line="159" w:lineRule="exact"/>
              <w:rPr>
                <w:sz w:val="20"/>
                <w:szCs w:val="20"/>
                <w:color w:val="auto"/>
              </w:rPr>
            </w:pPr>
            <w:r>
              <w:rPr>
                <w:rFonts w:ascii="Arial" w:cs="Arial" w:eastAsia="Arial" w:hAnsi="Arial"/>
                <w:sz w:val="14"/>
                <w:szCs w:val="14"/>
                <w:b w:val="1"/>
                <w:bCs w:val="1"/>
                <w:color w:val="FFFFFF"/>
              </w:rPr>
              <w:t>Life</w:t>
            </w:r>
          </w:p>
        </w:tc>
        <w:tc>
          <w:tcPr>
            <w:tcW w:w="960" w:type="dxa"/>
            <w:vAlign w:val="bottom"/>
            <w:shd w:val="clear" w:color="auto" w:fill="C43776"/>
          </w:tcPr>
          <w:p>
            <w:pPr>
              <w:spacing w:after="0"/>
              <w:rPr>
                <w:sz w:val="13"/>
                <w:szCs w:val="13"/>
                <w:color w:val="auto"/>
              </w:rPr>
            </w:pPr>
          </w:p>
        </w:tc>
        <w:tc>
          <w:tcPr>
            <w:tcW w:w="880" w:type="dxa"/>
            <w:vAlign w:val="bottom"/>
            <w:shd w:val="clear" w:color="auto" w:fill="C43776"/>
          </w:tcPr>
          <w:p>
            <w:pPr>
              <w:spacing w:after="0"/>
              <w:rPr>
                <w:sz w:val="13"/>
                <w:szCs w:val="13"/>
                <w:color w:val="auto"/>
              </w:rPr>
            </w:pPr>
          </w:p>
        </w:tc>
      </w:tr>
      <w:tr>
        <w:trPr>
          <w:trHeight w:val="178"/>
        </w:trPr>
        <w:tc>
          <w:tcPr>
            <w:tcW w:w="1820" w:type="dxa"/>
            <w:vAlign w:val="bottom"/>
            <w:shd w:val="clear" w:color="auto" w:fill="C43776"/>
          </w:tcPr>
          <w:p>
            <w:pPr>
              <w:spacing w:after="0"/>
              <w:rPr>
                <w:sz w:val="15"/>
                <w:szCs w:val="15"/>
                <w:color w:val="auto"/>
              </w:rPr>
            </w:pPr>
          </w:p>
        </w:tc>
        <w:tc>
          <w:tcPr>
            <w:tcW w:w="100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Premiums</w:t>
            </w:r>
          </w:p>
        </w:tc>
        <w:tc>
          <w:tcPr>
            <w:tcW w:w="94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Premiums</w:t>
            </w:r>
          </w:p>
        </w:tc>
        <w:tc>
          <w:tcPr>
            <w:tcW w:w="10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Contributions</w:t>
            </w:r>
          </w:p>
        </w:tc>
        <w:tc>
          <w:tcPr>
            <w:tcW w:w="1020" w:type="dxa"/>
            <w:vAlign w:val="bottom"/>
            <w:shd w:val="clear" w:color="auto" w:fill="C43776"/>
          </w:tcPr>
          <w:p>
            <w:pPr>
              <w:jc w:val="right"/>
              <w:ind w:right="68"/>
              <w:spacing w:after="0" w:line="178" w:lineRule="exact"/>
              <w:rPr>
                <w:sz w:val="20"/>
                <w:szCs w:val="20"/>
                <w:color w:val="auto"/>
              </w:rPr>
            </w:pPr>
            <w:r>
              <w:rPr>
                <w:rFonts w:ascii="Arial" w:cs="Arial" w:eastAsia="Arial" w:hAnsi="Arial"/>
                <w:sz w:val="14"/>
                <w:szCs w:val="14"/>
                <w:b w:val="1"/>
                <w:bCs w:val="1"/>
                <w:color w:val="FFFFFF"/>
              </w:rPr>
              <w:t>Allowance</w:t>
            </w:r>
            <w:r>
              <w:rPr>
                <w:rFonts w:ascii="Arial" w:cs="Arial" w:eastAsia="Arial" w:hAnsi="Arial"/>
                <w:sz w:val="18"/>
                <w:szCs w:val="18"/>
                <w:b w:val="1"/>
                <w:bCs w:val="1"/>
                <w:color w:val="FFFFFF"/>
                <w:vertAlign w:val="superscript"/>
              </w:rPr>
              <w:t>(7)</w:t>
            </w:r>
          </w:p>
        </w:tc>
        <w:tc>
          <w:tcPr>
            <w:tcW w:w="1040" w:type="dxa"/>
            <w:vAlign w:val="bottom"/>
            <w:shd w:val="clear" w:color="auto" w:fill="C43776"/>
          </w:tcPr>
          <w:p>
            <w:pPr>
              <w:jc w:val="right"/>
              <w:ind w:right="148"/>
              <w:spacing w:after="0"/>
              <w:rPr>
                <w:sz w:val="20"/>
                <w:szCs w:val="20"/>
                <w:color w:val="auto"/>
              </w:rPr>
            </w:pPr>
            <w:r>
              <w:rPr>
                <w:rFonts w:ascii="Arial" w:cs="Arial" w:eastAsia="Arial" w:hAnsi="Arial"/>
                <w:sz w:val="14"/>
                <w:szCs w:val="14"/>
                <w:b w:val="1"/>
                <w:bCs w:val="1"/>
                <w:color w:val="FFFFFF"/>
              </w:rPr>
              <w:t>Insurance</w:t>
            </w:r>
          </w:p>
        </w:tc>
        <w:tc>
          <w:tcPr>
            <w:tcW w:w="960" w:type="dxa"/>
            <w:vAlign w:val="bottom"/>
            <w:shd w:val="clear" w:color="auto" w:fill="C43776"/>
          </w:tcPr>
          <w:p>
            <w:pPr>
              <w:jc w:val="right"/>
              <w:ind w:right="148"/>
              <w:spacing w:after="0" w:line="178" w:lineRule="exact"/>
              <w:rPr>
                <w:sz w:val="20"/>
                <w:szCs w:val="20"/>
                <w:color w:val="auto"/>
              </w:rPr>
            </w:pPr>
            <w:r>
              <w:rPr>
                <w:rFonts w:ascii="Arial" w:cs="Arial" w:eastAsia="Arial" w:hAnsi="Arial"/>
                <w:sz w:val="14"/>
                <w:szCs w:val="14"/>
                <w:b w:val="1"/>
                <w:bCs w:val="1"/>
                <w:color w:val="FFFFFF"/>
              </w:rPr>
              <w:t>Other</w:t>
            </w:r>
            <w:r>
              <w:rPr>
                <w:rFonts w:ascii="Arial" w:cs="Arial" w:eastAsia="Arial" w:hAnsi="Arial"/>
                <w:sz w:val="18"/>
                <w:szCs w:val="18"/>
                <w:b w:val="1"/>
                <w:bCs w:val="1"/>
                <w:color w:val="FFFFFF"/>
                <w:vertAlign w:val="superscript"/>
              </w:rPr>
              <w:t>(8)</w:t>
            </w:r>
          </w:p>
        </w:tc>
        <w:tc>
          <w:tcPr>
            <w:tcW w:w="880" w:type="dxa"/>
            <w:vAlign w:val="bottom"/>
            <w:shd w:val="clear" w:color="auto" w:fill="C43776"/>
          </w:tcPr>
          <w:p>
            <w:pPr>
              <w:jc w:val="right"/>
              <w:ind w:right="88"/>
              <w:spacing w:after="0"/>
              <w:rPr>
                <w:sz w:val="20"/>
                <w:szCs w:val="20"/>
                <w:color w:val="auto"/>
              </w:rPr>
            </w:pPr>
            <w:r>
              <w:rPr>
                <w:rFonts w:ascii="Arial" w:cs="Arial" w:eastAsia="Arial" w:hAnsi="Arial"/>
                <w:sz w:val="14"/>
                <w:szCs w:val="14"/>
                <w:b w:val="1"/>
                <w:bCs w:val="1"/>
                <w:color w:val="FFFFFF"/>
              </w:rPr>
              <w:t>Total</w:t>
            </w:r>
          </w:p>
        </w:tc>
      </w:tr>
      <w:tr>
        <w:trPr>
          <w:trHeight w:val="185"/>
        </w:trPr>
        <w:tc>
          <w:tcPr>
            <w:tcW w:w="182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1000" w:type="dxa"/>
            <w:vAlign w:val="bottom"/>
            <w:shd w:val="clear" w:color="auto" w:fill="C43776"/>
          </w:tcPr>
          <w:p>
            <w:pPr>
              <w:jc w:val="right"/>
              <w:ind w:right="2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C43776"/>
          </w:tcPr>
          <w:p>
            <w:pPr>
              <w:jc w:val="right"/>
              <w:ind w:right="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C43776"/>
          </w:tcPr>
          <w:p>
            <w:pPr>
              <w:jc w:val="right"/>
              <w:ind w:right="148"/>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C43776"/>
          </w:tcPr>
          <w:p>
            <w:pPr>
              <w:jc w:val="right"/>
              <w:ind w:right="148"/>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4"/>
        </w:trPr>
        <w:tc>
          <w:tcPr>
            <w:tcW w:w="1820" w:type="dxa"/>
            <w:vAlign w:val="bottom"/>
            <w:shd w:val="clear" w:color="auto" w:fill="C43776"/>
          </w:tcPr>
          <w:p>
            <w:pPr>
              <w:spacing w:after="0"/>
              <w:rPr>
                <w:sz w:val="8"/>
                <w:szCs w:val="8"/>
                <w:color w:val="auto"/>
              </w:rPr>
            </w:pPr>
          </w:p>
        </w:tc>
        <w:tc>
          <w:tcPr>
            <w:tcW w:w="1000" w:type="dxa"/>
            <w:vAlign w:val="bottom"/>
            <w:shd w:val="clear" w:color="auto" w:fill="C43776"/>
          </w:tcPr>
          <w:p>
            <w:pPr>
              <w:spacing w:after="0"/>
              <w:rPr>
                <w:sz w:val="8"/>
                <w:szCs w:val="8"/>
                <w:color w:val="auto"/>
              </w:rPr>
            </w:pPr>
          </w:p>
        </w:tc>
        <w:tc>
          <w:tcPr>
            <w:tcW w:w="940" w:type="dxa"/>
            <w:vAlign w:val="bottom"/>
            <w:shd w:val="clear" w:color="auto" w:fill="C43776"/>
          </w:tcPr>
          <w:p>
            <w:pPr>
              <w:spacing w:after="0"/>
              <w:rPr>
                <w:sz w:val="8"/>
                <w:szCs w:val="8"/>
                <w:color w:val="auto"/>
              </w:rPr>
            </w:pPr>
          </w:p>
        </w:tc>
        <w:tc>
          <w:tcPr>
            <w:tcW w:w="1080" w:type="dxa"/>
            <w:vAlign w:val="bottom"/>
            <w:shd w:val="clear" w:color="auto" w:fill="C43776"/>
          </w:tcPr>
          <w:p>
            <w:pPr>
              <w:spacing w:after="0"/>
              <w:rPr>
                <w:sz w:val="8"/>
                <w:szCs w:val="8"/>
                <w:color w:val="auto"/>
              </w:rPr>
            </w:pPr>
          </w:p>
        </w:tc>
        <w:tc>
          <w:tcPr>
            <w:tcW w:w="1020" w:type="dxa"/>
            <w:vAlign w:val="bottom"/>
            <w:shd w:val="clear" w:color="auto" w:fill="C43776"/>
          </w:tcPr>
          <w:p>
            <w:pPr>
              <w:spacing w:after="0"/>
              <w:rPr>
                <w:sz w:val="8"/>
                <w:szCs w:val="8"/>
                <w:color w:val="auto"/>
              </w:rPr>
            </w:pPr>
          </w:p>
        </w:tc>
        <w:tc>
          <w:tcPr>
            <w:tcW w:w="1040" w:type="dxa"/>
            <w:vAlign w:val="bottom"/>
            <w:shd w:val="clear" w:color="auto" w:fill="C43776"/>
          </w:tcPr>
          <w:p>
            <w:pPr>
              <w:spacing w:after="0"/>
              <w:rPr>
                <w:sz w:val="8"/>
                <w:szCs w:val="8"/>
                <w:color w:val="auto"/>
              </w:rPr>
            </w:pPr>
          </w:p>
        </w:tc>
        <w:tc>
          <w:tcPr>
            <w:tcW w:w="960" w:type="dxa"/>
            <w:vAlign w:val="bottom"/>
            <w:shd w:val="clear" w:color="auto" w:fill="C43776"/>
          </w:tcPr>
          <w:p>
            <w:pPr>
              <w:spacing w:after="0"/>
              <w:rPr>
                <w:sz w:val="8"/>
                <w:szCs w:val="8"/>
                <w:color w:val="auto"/>
              </w:rPr>
            </w:pPr>
          </w:p>
        </w:tc>
        <w:tc>
          <w:tcPr>
            <w:tcW w:w="880" w:type="dxa"/>
            <w:vAlign w:val="bottom"/>
            <w:shd w:val="clear" w:color="auto" w:fill="C43776"/>
          </w:tcPr>
          <w:p>
            <w:pPr>
              <w:spacing w:after="0"/>
              <w:rPr>
                <w:sz w:val="8"/>
                <w:szCs w:val="8"/>
                <w:color w:val="auto"/>
              </w:rPr>
            </w:pPr>
          </w:p>
        </w:tc>
      </w:tr>
      <w:tr>
        <w:trPr>
          <w:trHeight w:val="295"/>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33,741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3,175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600</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37,516</w:t>
            </w:r>
          </w:p>
        </w:tc>
      </w:tr>
      <w:tr>
        <w:trPr>
          <w:trHeight w:val="69"/>
        </w:trPr>
        <w:tc>
          <w:tcPr>
            <w:tcW w:w="1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95"/>
        </w:trPr>
        <w:tc>
          <w:tcPr>
            <w:tcW w:w="182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100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5,623</w:t>
            </w:r>
          </w:p>
        </w:tc>
        <w:tc>
          <w:tcPr>
            <w:tcW w:w="94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1,323</w:t>
            </w:r>
          </w:p>
        </w:tc>
        <w:tc>
          <w:tcPr>
            <w:tcW w:w="10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1,846</w:t>
            </w:r>
          </w:p>
        </w:tc>
        <w:tc>
          <w:tcPr>
            <w:tcW w:w="102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254</w:t>
            </w:r>
          </w:p>
        </w:tc>
        <w:tc>
          <w:tcPr>
            <w:tcW w:w="9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197,334</w:t>
            </w:r>
          </w:p>
        </w:tc>
        <w:tc>
          <w:tcPr>
            <w:tcW w:w="88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206,380</w:t>
            </w:r>
          </w:p>
        </w:tc>
      </w:tr>
      <w:tr>
        <w:trPr>
          <w:trHeight w:val="70"/>
        </w:trPr>
        <w:tc>
          <w:tcPr>
            <w:tcW w:w="1820" w:type="dxa"/>
            <w:vAlign w:val="bottom"/>
            <w:shd w:val="clear" w:color="auto" w:fill="F1F2F2"/>
          </w:tcPr>
          <w:p>
            <w:pPr>
              <w:spacing w:after="0"/>
              <w:rPr>
                <w:sz w:val="6"/>
                <w:szCs w:val="6"/>
                <w:color w:val="auto"/>
              </w:rPr>
            </w:pPr>
          </w:p>
        </w:tc>
        <w:tc>
          <w:tcPr>
            <w:tcW w:w="1000" w:type="dxa"/>
            <w:vAlign w:val="bottom"/>
            <w:shd w:val="clear" w:color="auto" w:fill="F1F2F2"/>
          </w:tcPr>
          <w:p>
            <w:pPr>
              <w:spacing w:after="0"/>
              <w:rPr>
                <w:sz w:val="6"/>
                <w:szCs w:val="6"/>
                <w:color w:val="auto"/>
              </w:rPr>
            </w:pPr>
          </w:p>
        </w:tc>
        <w:tc>
          <w:tcPr>
            <w:tcW w:w="940" w:type="dxa"/>
            <w:vAlign w:val="bottom"/>
            <w:shd w:val="clear" w:color="auto" w:fill="F1F2F2"/>
          </w:tcPr>
          <w:p>
            <w:pPr>
              <w:spacing w:after="0"/>
              <w:rPr>
                <w:sz w:val="6"/>
                <w:szCs w:val="6"/>
                <w:color w:val="auto"/>
              </w:rPr>
            </w:pPr>
          </w:p>
        </w:tc>
        <w:tc>
          <w:tcPr>
            <w:tcW w:w="1080" w:type="dxa"/>
            <w:vAlign w:val="bottom"/>
            <w:shd w:val="clear" w:color="auto" w:fill="F1F2F2"/>
          </w:tcPr>
          <w:p>
            <w:pPr>
              <w:spacing w:after="0"/>
              <w:rPr>
                <w:sz w:val="6"/>
                <w:szCs w:val="6"/>
                <w:color w:val="auto"/>
              </w:rPr>
            </w:pPr>
          </w:p>
        </w:tc>
        <w:tc>
          <w:tcPr>
            <w:tcW w:w="1020" w:type="dxa"/>
            <w:vAlign w:val="bottom"/>
            <w:shd w:val="clear" w:color="auto" w:fill="F1F2F2"/>
          </w:tcPr>
          <w:p>
            <w:pPr>
              <w:spacing w:after="0"/>
              <w:rPr>
                <w:sz w:val="6"/>
                <w:szCs w:val="6"/>
                <w:color w:val="auto"/>
              </w:rPr>
            </w:pPr>
          </w:p>
        </w:tc>
        <w:tc>
          <w:tcPr>
            <w:tcW w:w="1040" w:type="dxa"/>
            <w:vAlign w:val="bottom"/>
            <w:shd w:val="clear" w:color="auto" w:fill="F1F2F2"/>
          </w:tcPr>
          <w:p>
            <w:pPr>
              <w:spacing w:after="0"/>
              <w:rPr>
                <w:sz w:val="6"/>
                <w:szCs w:val="6"/>
                <w:color w:val="auto"/>
              </w:rPr>
            </w:pPr>
          </w:p>
        </w:tc>
        <w:tc>
          <w:tcPr>
            <w:tcW w:w="960" w:type="dxa"/>
            <w:vAlign w:val="bottom"/>
            <w:shd w:val="clear" w:color="auto" w:fill="F1F2F2"/>
          </w:tcPr>
          <w:p>
            <w:pPr>
              <w:spacing w:after="0"/>
              <w:rPr>
                <w:sz w:val="6"/>
                <w:szCs w:val="6"/>
                <w:color w:val="auto"/>
              </w:rPr>
            </w:pPr>
          </w:p>
        </w:tc>
        <w:tc>
          <w:tcPr>
            <w:tcW w:w="880" w:type="dxa"/>
            <w:vAlign w:val="bottom"/>
            <w:shd w:val="clear" w:color="auto" w:fill="F1F2F2"/>
          </w:tcPr>
          <w:p>
            <w:pPr>
              <w:spacing w:after="0"/>
              <w:rPr>
                <w:sz w:val="6"/>
                <w:szCs w:val="6"/>
                <w:color w:val="auto"/>
              </w:rPr>
            </w:pPr>
          </w:p>
        </w:tc>
      </w:tr>
      <w:tr>
        <w:trPr>
          <w:trHeight w:val="295"/>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Tom Panther</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5,193</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1,171</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606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185</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300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7,455</w:t>
            </w:r>
          </w:p>
        </w:tc>
      </w:tr>
      <w:tr>
        <w:trPr>
          <w:trHeight w:val="70"/>
        </w:trPr>
        <w:tc>
          <w:tcPr>
            <w:tcW w:w="1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95"/>
        </w:trPr>
        <w:tc>
          <w:tcPr>
            <w:tcW w:w="182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Alissa B. Vickery</w:t>
            </w:r>
          </w:p>
        </w:tc>
        <w:tc>
          <w:tcPr>
            <w:tcW w:w="1000" w:type="dxa"/>
            <w:vAlign w:val="bottom"/>
            <w:shd w:val="clear" w:color="auto" w:fill="F1F2F2"/>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2,413</w:t>
            </w:r>
          </w:p>
        </w:tc>
        <w:tc>
          <w:tcPr>
            <w:tcW w:w="102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600</w:t>
            </w:r>
          </w:p>
        </w:tc>
        <w:tc>
          <w:tcPr>
            <w:tcW w:w="9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1,800</w:t>
            </w:r>
          </w:p>
        </w:tc>
        <w:tc>
          <w:tcPr>
            <w:tcW w:w="88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4,813</w:t>
            </w:r>
          </w:p>
        </w:tc>
      </w:tr>
      <w:tr>
        <w:trPr>
          <w:trHeight w:val="70"/>
        </w:trPr>
        <w:tc>
          <w:tcPr>
            <w:tcW w:w="1820" w:type="dxa"/>
            <w:vAlign w:val="bottom"/>
            <w:shd w:val="clear" w:color="auto" w:fill="F1F2F2"/>
          </w:tcPr>
          <w:p>
            <w:pPr>
              <w:spacing w:after="0"/>
              <w:rPr>
                <w:sz w:val="6"/>
                <w:szCs w:val="6"/>
                <w:color w:val="auto"/>
              </w:rPr>
            </w:pPr>
          </w:p>
        </w:tc>
        <w:tc>
          <w:tcPr>
            <w:tcW w:w="1000" w:type="dxa"/>
            <w:vAlign w:val="bottom"/>
            <w:shd w:val="clear" w:color="auto" w:fill="F1F2F2"/>
          </w:tcPr>
          <w:p>
            <w:pPr>
              <w:spacing w:after="0"/>
              <w:rPr>
                <w:sz w:val="6"/>
                <w:szCs w:val="6"/>
                <w:color w:val="auto"/>
              </w:rPr>
            </w:pPr>
          </w:p>
        </w:tc>
        <w:tc>
          <w:tcPr>
            <w:tcW w:w="940" w:type="dxa"/>
            <w:vAlign w:val="bottom"/>
            <w:shd w:val="clear" w:color="auto" w:fill="F1F2F2"/>
          </w:tcPr>
          <w:p>
            <w:pPr>
              <w:spacing w:after="0"/>
              <w:rPr>
                <w:sz w:val="6"/>
                <w:szCs w:val="6"/>
                <w:color w:val="auto"/>
              </w:rPr>
            </w:pPr>
          </w:p>
        </w:tc>
        <w:tc>
          <w:tcPr>
            <w:tcW w:w="1080" w:type="dxa"/>
            <w:vAlign w:val="bottom"/>
            <w:shd w:val="clear" w:color="auto" w:fill="F1F2F2"/>
          </w:tcPr>
          <w:p>
            <w:pPr>
              <w:spacing w:after="0"/>
              <w:rPr>
                <w:sz w:val="6"/>
                <w:szCs w:val="6"/>
                <w:color w:val="auto"/>
              </w:rPr>
            </w:pPr>
          </w:p>
        </w:tc>
        <w:tc>
          <w:tcPr>
            <w:tcW w:w="1020" w:type="dxa"/>
            <w:vAlign w:val="bottom"/>
            <w:shd w:val="clear" w:color="auto" w:fill="F1F2F2"/>
          </w:tcPr>
          <w:p>
            <w:pPr>
              <w:spacing w:after="0"/>
              <w:rPr>
                <w:sz w:val="6"/>
                <w:szCs w:val="6"/>
                <w:color w:val="auto"/>
              </w:rPr>
            </w:pPr>
          </w:p>
        </w:tc>
        <w:tc>
          <w:tcPr>
            <w:tcW w:w="1040" w:type="dxa"/>
            <w:vAlign w:val="bottom"/>
            <w:shd w:val="clear" w:color="auto" w:fill="F1F2F2"/>
          </w:tcPr>
          <w:p>
            <w:pPr>
              <w:spacing w:after="0"/>
              <w:rPr>
                <w:sz w:val="6"/>
                <w:szCs w:val="6"/>
                <w:color w:val="auto"/>
              </w:rPr>
            </w:pPr>
          </w:p>
        </w:tc>
        <w:tc>
          <w:tcPr>
            <w:tcW w:w="960" w:type="dxa"/>
            <w:vAlign w:val="bottom"/>
            <w:shd w:val="clear" w:color="auto" w:fill="F1F2F2"/>
          </w:tcPr>
          <w:p>
            <w:pPr>
              <w:spacing w:after="0"/>
              <w:rPr>
                <w:sz w:val="6"/>
                <w:szCs w:val="6"/>
                <w:color w:val="auto"/>
              </w:rPr>
            </w:pPr>
          </w:p>
        </w:tc>
        <w:tc>
          <w:tcPr>
            <w:tcW w:w="880" w:type="dxa"/>
            <w:vAlign w:val="bottom"/>
            <w:shd w:val="clear" w:color="auto" w:fill="F1F2F2"/>
          </w:tcPr>
          <w:p>
            <w:pPr>
              <w:spacing w:after="0"/>
              <w:rPr>
                <w:sz w:val="6"/>
                <w:szCs w:val="6"/>
                <w:color w:val="auto"/>
              </w:rPr>
            </w:pPr>
          </w:p>
        </w:tc>
      </w:tr>
      <w:tr>
        <w:trPr>
          <w:trHeight w:val="357"/>
        </w:trPr>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Armando L. Netto</w:t>
            </w:r>
            <w:r>
              <w:rPr>
                <w:rFonts w:ascii="Arial" w:cs="Arial" w:eastAsia="Arial" w:hAnsi="Arial"/>
                <w:sz w:val="18"/>
                <w:szCs w:val="18"/>
                <w:b w:val="1"/>
                <w:bCs w:val="1"/>
                <w:color w:val="auto"/>
                <w:vertAlign w:val="superscript"/>
              </w:rPr>
              <w:t>(6)</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37,460</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965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5,875</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103,799</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600</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395,880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544,579</w:t>
            </w:r>
          </w:p>
        </w:tc>
      </w:tr>
      <w:tr>
        <w:trPr>
          <w:trHeight w:val="365"/>
        </w:trPr>
        <w:tc>
          <w:tcPr>
            <w:tcW w:w="1820" w:type="dxa"/>
            <w:vAlign w:val="bottom"/>
            <w:tcBorders>
              <w:bottom w:val="single" w:sz="8" w:color="C43776"/>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Alan King</w:t>
            </w:r>
            <w:r>
              <w:rPr>
                <w:rFonts w:ascii="Arial" w:cs="Arial" w:eastAsia="Arial" w:hAnsi="Arial"/>
                <w:sz w:val="18"/>
                <w:szCs w:val="18"/>
                <w:b w:val="1"/>
                <w:bCs w:val="1"/>
                <w:color w:val="auto"/>
                <w:vertAlign w:val="superscript"/>
              </w:rPr>
              <w:t>(6)</w:t>
            </w:r>
          </w:p>
        </w:tc>
        <w:tc>
          <w:tcPr>
            <w:tcW w:w="1000" w:type="dxa"/>
            <w:vAlign w:val="bottom"/>
            <w:tcBorders>
              <w:bottom w:val="single" w:sz="8" w:color="C43776"/>
            </w:tcBorders>
            <w:shd w:val="clear" w:color="auto" w:fill="F1F2F2"/>
          </w:tcPr>
          <w:p>
            <w:pPr>
              <w:jc w:val="right"/>
              <w:ind w:right="28"/>
              <w:spacing w:after="0"/>
              <w:rPr>
                <w:sz w:val="20"/>
                <w:szCs w:val="20"/>
                <w:color w:val="auto"/>
              </w:rPr>
            </w:pPr>
            <w:r>
              <w:rPr>
                <w:rFonts w:ascii="Arial" w:cs="Arial" w:eastAsia="Arial" w:hAnsi="Arial"/>
                <w:sz w:val="14"/>
                <w:szCs w:val="14"/>
                <w:color w:val="auto"/>
              </w:rPr>
              <w:t>32,924</w:t>
            </w:r>
          </w:p>
        </w:tc>
        <w:tc>
          <w:tcPr>
            <w:tcW w:w="940" w:type="dxa"/>
            <w:vAlign w:val="bottom"/>
            <w:tcBorders>
              <w:bottom w:val="single" w:sz="8" w:color="C43776"/>
            </w:tcBorders>
            <w:shd w:val="clear" w:color="auto" w:fill="F1F2F2"/>
          </w:tcPr>
          <w:p>
            <w:pPr>
              <w:jc w:val="right"/>
              <w:ind w:right="8"/>
              <w:spacing w:after="0"/>
              <w:rPr>
                <w:sz w:val="20"/>
                <w:szCs w:val="20"/>
                <w:color w:val="auto"/>
              </w:rPr>
            </w:pPr>
            <w:r>
              <w:rPr>
                <w:rFonts w:ascii="Arial" w:cs="Arial" w:eastAsia="Arial" w:hAnsi="Arial"/>
                <w:sz w:val="14"/>
                <w:szCs w:val="14"/>
                <w:color w:val="auto"/>
              </w:rPr>
              <w:t>298</w:t>
            </w:r>
          </w:p>
        </w:tc>
        <w:tc>
          <w:tcPr>
            <w:tcW w:w="1080" w:type="dxa"/>
            <w:vAlign w:val="bottom"/>
            <w:tcBorders>
              <w:bottom w:val="single" w:sz="8" w:color="C43776"/>
            </w:tcBorders>
            <w:shd w:val="clear" w:color="auto" w:fill="F1F2F2"/>
          </w:tcPr>
          <w:p>
            <w:pPr>
              <w:jc w:val="right"/>
              <w:ind w:right="8"/>
              <w:spacing w:after="0"/>
              <w:rPr>
                <w:sz w:val="20"/>
                <w:szCs w:val="20"/>
                <w:color w:val="auto"/>
              </w:rPr>
            </w:pPr>
            <w:r>
              <w:rPr>
                <w:rFonts w:ascii="Arial" w:cs="Arial" w:eastAsia="Arial" w:hAnsi="Arial"/>
                <w:sz w:val="14"/>
                <w:szCs w:val="14"/>
                <w:color w:val="auto"/>
              </w:rPr>
              <w:t>2,510</w:t>
            </w:r>
          </w:p>
        </w:tc>
        <w:tc>
          <w:tcPr>
            <w:tcW w:w="1020" w:type="dxa"/>
            <w:vAlign w:val="bottom"/>
            <w:tcBorders>
              <w:bottom w:val="single" w:sz="8" w:color="C43776"/>
            </w:tcBorders>
            <w:shd w:val="clear" w:color="auto" w:fill="F1F2F2"/>
          </w:tcPr>
          <w:p>
            <w:pPr>
              <w:jc w:val="right"/>
              <w:ind w:right="88"/>
              <w:spacing w:after="0"/>
              <w:rPr>
                <w:sz w:val="20"/>
                <w:szCs w:val="20"/>
                <w:color w:val="auto"/>
              </w:rPr>
            </w:pPr>
            <w:r>
              <w:rPr>
                <w:rFonts w:ascii="Arial" w:cs="Arial" w:eastAsia="Arial" w:hAnsi="Arial"/>
                <w:sz w:val="14"/>
                <w:szCs w:val="14"/>
                <w:color w:val="auto"/>
              </w:rPr>
              <w:t>22,594</w:t>
            </w:r>
          </w:p>
        </w:tc>
        <w:tc>
          <w:tcPr>
            <w:tcW w:w="1040" w:type="dxa"/>
            <w:vAlign w:val="bottom"/>
            <w:tcBorders>
              <w:bottom w:val="single" w:sz="8" w:color="C43776"/>
            </w:tcBorders>
            <w:shd w:val="clear" w:color="auto" w:fill="F1F2F2"/>
          </w:tcPr>
          <w:p>
            <w:pPr>
              <w:jc w:val="right"/>
              <w:ind w:right="148"/>
              <w:spacing w:after="0"/>
              <w:rPr>
                <w:sz w:val="20"/>
                <w:szCs w:val="20"/>
                <w:color w:val="auto"/>
              </w:rPr>
            </w:pPr>
            <w:r>
              <w:rPr>
                <w:rFonts w:ascii="Arial" w:cs="Arial" w:eastAsia="Arial" w:hAnsi="Arial"/>
                <w:sz w:val="14"/>
                <w:szCs w:val="14"/>
                <w:color w:val="auto"/>
              </w:rPr>
              <w:t>1,052</w:t>
            </w:r>
          </w:p>
        </w:tc>
        <w:tc>
          <w:tcPr>
            <w:tcW w:w="960" w:type="dxa"/>
            <w:vAlign w:val="bottom"/>
            <w:tcBorders>
              <w:bottom w:val="single" w:sz="8" w:color="C43776"/>
            </w:tcBorders>
            <w:shd w:val="clear" w:color="auto" w:fill="F1F2F2"/>
          </w:tcPr>
          <w:p>
            <w:pPr>
              <w:jc w:val="right"/>
              <w:ind w:right="148"/>
              <w:spacing w:after="0"/>
              <w:rPr>
                <w:sz w:val="20"/>
                <w:szCs w:val="20"/>
                <w:color w:val="auto"/>
              </w:rPr>
            </w:pPr>
            <w:r>
              <w:rPr>
                <w:rFonts w:ascii="Arial" w:cs="Arial" w:eastAsia="Arial" w:hAnsi="Arial"/>
                <w:sz w:val="14"/>
                <w:szCs w:val="14"/>
                <w:color w:val="auto"/>
              </w:rPr>
              <w:t>456,534</w:t>
            </w:r>
          </w:p>
        </w:tc>
        <w:tc>
          <w:tcPr>
            <w:tcW w:w="880" w:type="dxa"/>
            <w:vAlign w:val="bottom"/>
            <w:tcBorders>
              <w:bottom w:val="single" w:sz="8" w:color="C43776"/>
            </w:tcBorders>
            <w:shd w:val="clear" w:color="auto" w:fill="F1F2F2"/>
          </w:tcPr>
          <w:p>
            <w:pPr>
              <w:jc w:val="right"/>
              <w:ind w:right="68"/>
              <w:spacing w:after="0"/>
              <w:rPr>
                <w:sz w:val="20"/>
                <w:szCs w:val="20"/>
                <w:color w:val="auto"/>
              </w:rPr>
            </w:pPr>
            <w:r>
              <w:rPr>
                <w:rFonts w:ascii="Arial" w:cs="Arial" w:eastAsia="Arial" w:hAnsi="Arial"/>
                <w:sz w:val="14"/>
                <w:szCs w:val="14"/>
                <w:color w:val="auto"/>
              </w:rPr>
              <w:t>515,912</w:t>
            </w:r>
          </w:p>
        </w:tc>
      </w:tr>
    </w:tbl>
    <w:p>
      <w:pPr>
        <w:spacing w:after="0" w:line="106" w:lineRule="exact"/>
        <w:rPr>
          <w:sz w:val="20"/>
          <w:szCs w:val="20"/>
          <w:color w:val="auto"/>
        </w:rPr>
      </w:pPr>
    </w:p>
    <w:p>
      <w:pPr>
        <w:ind w:left="332" w:hanging="332"/>
        <w:spacing w:after="0" w:line="245" w:lineRule="auto"/>
        <w:tabs>
          <w:tab w:leader="none" w:pos="332"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Prior to his relocation to the U.S. in July 2024, Mr. Netto was based in Brazil. For compensation earned by Mr. Netto prior to his relocation (other than equity award values), amounts were denominated in Brazilian Real and have been converted to U.S. dollars at an average exchange rate of $1 to R$5.1395 for Jan-July 2024 and $1 to R$4.9915 for 2023. The majority of compensation earned by Mr. Netto after his relocation was paid in U.S. dollars. The portion denominated in Brazilian Real has been converted to U.S. dollars at an average exchange rate of $1 to R$5.5873 for 2025. Effective July 2025, Mr. King returned to the U.K. Compensation earned by Mr. King prior to July 2025 was paid in U.S. dollars. Compensation earned by Mr. King from July 2025 onward (other than equity award values) was paid in British Pounds Sterling and has been converted to U.S. dollars at an average exchange rate of $1 to £0.7467 for July-December 2025.</w:t>
      </w:r>
    </w:p>
    <w:p>
      <w:pPr>
        <w:spacing w:after="0" w:line="38" w:lineRule="exact"/>
        <w:rPr>
          <w:rFonts w:ascii="Arial" w:cs="Arial" w:eastAsia="Arial" w:hAnsi="Arial"/>
          <w:sz w:val="13"/>
          <w:szCs w:val="13"/>
          <w:i w:val="1"/>
          <w:iCs w:val="1"/>
          <w:color w:val="auto"/>
        </w:rPr>
      </w:pPr>
    </w:p>
    <w:p>
      <w:pPr>
        <w:ind w:left="332" w:hanging="332"/>
        <w:spacing w:after="0"/>
        <w:tabs>
          <w:tab w:leader="none" w:pos="332"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aggregate of monthly cash vehicle allowances paid to, or on behalf of, each NEO during 2025.</w:t>
      </w:r>
    </w:p>
    <w:p>
      <w:pPr>
        <w:spacing w:after="0" w:line="53" w:lineRule="exact"/>
        <w:rPr>
          <w:rFonts w:ascii="Arial" w:cs="Arial" w:eastAsia="Arial" w:hAnsi="Arial"/>
          <w:sz w:val="13"/>
          <w:szCs w:val="13"/>
          <w:i w:val="1"/>
          <w:iCs w:val="1"/>
          <w:color w:val="auto"/>
        </w:rPr>
      </w:pPr>
    </w:p>
    <w:p>
      <w:pPr>
        <w:ind w:left="332" w:right="20" w:hanging="332"/>
        <w:spacing w:after="0" w:line="253" w:lineRule="auto"/>
        <w:tabs>
          <w:tab w:leader="none" w:pos="332"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For Mr. Walker, represents relocation benefits of $177,334 and legal fee reimbursements in connection with offer letter negotiation and execution of $20,000. For Mr. Panther and Ms. Vickery, represents parking and technology allowances. For Mr. Netto, represents a housing allowance of $311,243 and relocation benefits of $84,637. For Mr. King, represents a housing allowance of $433,612, relocation benefits of $271 and $22,651 for the cost of a round trip commercial flight for Mr. King’s family from the U.S. to the U.K. in connection with Mr. King’s relocation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
        <w:spacing w:after="0"/>
        <w:tabs>
          <w:tab w:leader="none" w:pos="391" w:val="left"/>
        </w:tabs>
        <w:rPr>
          <w:sz w:val="20"/>
          <w:szCs w:val="20"/>
          <w:color w:val="auto"/>
        </w:rPr>
      </w:pPr>
      <w:r>
        <w:rPr>
          <w:rFonts w:ascii="Arial" w:cs="Arial" w:eastAsia="Arial" w:hAnsi="Arial"/>
          <w:sz w:val="14"/>
          <w:szCs w:val="14"/>
          <w:b w:val="1"/>
          <w:bCs w:val="1"/>
          <w:color w:val="2C6EC4"/>
        </w:rPr>
        <w:t>46</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72"/>
          </w:cols>
          <w:pgMar w:left="1408" w:top="770" w:right="1419" w:bottom="1440" w:gutter="0" w:footer="0" w:header="0"/>
        </w:sectPr>
      </w:pPr>
    </w:p>
    <w:bookmarkStart w:id="52" w:name="page53"/>
    <w:bookmarkEnd w:id="52"/>
    <w:p>
      <w:pPr>
        <w:ind w:left="60"/>
        <w:spacing w:after="0"/>
        <w:tabs>
          <w:tab w:leader="none" w:pos="56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06. 2025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color w:val="C43776"/>
        </w:rPr>
        <w:t>2025 Grants of Plan-Based Awards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about awards granted in 2025 to each of the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00" w:type="dxa"/>
            <w:vAlign w:val="bottom"/>
            <w:shd w:val="clear" w:color="auto" w:fill="C43776"/>
          </w:tcPr>
          <w:p>
            <w:pPr>
              <w:spacing w:after="0"/>
              <w:rPr>
                <w:sz w:val="23"/>
                <w:szCs w:val="23"/>
                <w:color w:val="auto"/>
              </w:rPr>
            </w:pPr>
          </w:p>
        </w:tc>
        <w:tc>
          <w:tcPr>
            <w:tcW w:w="1520" w:type="dxa"/>
            <w:vAlign w:val="bottom"/>
            <w:shd w:val="clear" w:color="auto" w:fill="C43776"/>
          </w:tcPr>
          <w:p>
            <w:pPr>
              <w:spacing w:after="0"/>
              <w:rPr>
                <w:sz w:val="23"/>
                <w:szCs w:val="23"/>
                <w:color w:val="auto"/>
              </w:rPr>
            </w:pPr>
          </w:p>
        </w:tc>
        <w:tc>
          <w:tcPr>
            <w:tcW w:w="900" w:type="dxa"/>
            <w:vAlign w:val="bottom"/>
            <w:shd w:val="clear" w:color="auto" w:fill="C43776"/>
          </w:tcPr>
          <w:p>
            <w:pPr>
              <w:spacing w:after="0"/>
              <w:rPr>
                <w:sz w:val="23"/>
                <w:szCs w:val="23"/>
                <w:color w:val="auto"/>
              </w:rPr>
            </w:pPr>
          </w:p>
        </w:tc>
        <w:tc>
          <w:tcPr>
            <w:tcW w:w="100" w:type="dxa"/>
            <w:vAlign w:val="bottom"/>
            <w:shd w:val="clear" w:color="auto" w:fill="C43776"/>
          </w:tcPr>
          <w:p>
            <w:pPr>
              <w:spacing w:after="0"/>
              <w:rPr>
                <w:sz w:val="23"/>
                <w:szCs w:val="23"/>
                <w:color w:val="auto"/>
              </w:rPr>
            </w:pPr>
          </w:p>
        </w:tc>
        <w:tc>
          <w:tcPr>
            <w:tcW w:w="2420" w:type="dxa"/>
            <w:vAlign w:val="bottom"/>
            <w:gridSpan w:val="3"/>
            <w:vMerge w:val="restart"/>
            <w:shd w:val="clear" w:color="auto" w:fill="C43776"/>
          </w:tcPr>
          <w:p>
            <w:pPr>
              <w:jc w:val="center"/>
              <w:spacing w:after="0"/>
              <w:rPr>
                <w:sz w:val="20"/>
                <w:szCs w:val="20"/>
                <w:color w:val="auto"/>
              </w:rPr>
            </w:pPr>
            <w:r>
              <w:rPr>
                <w:rFonts w:ascii="Arial" w:cs="Arial" w:eastAsia="Arial" w:hAnsi="Arial"/>
                <w:sz w:val="13"/>
                <w:szCs w:val="13"/>
                <w:b w:val="1"/>
                <w:bCs w:val="1"/>
                <w:color w:val="FFFFFF"/>
                <w:w w:val="96"/>
              </w:rPr>
              <w:t>Estimated Future Payouts</w:t>
            </w:r>
          </w:p>
        </w:tc>
        <w:tc>
          <w:tcPr>
            <w:tcW w:w="9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All Other</w:t>
            </w:r>
          </w:p>
        </w:tc>
        <w:tc>
          <w:tcPr>
            <w:tcW w:w="10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All Other</w:t>
            </w:r>
          </w:p>
        </w:tc>
        <w:tc>
          <w:tcPr>
            <w:tcW w:w="1100" w:type="dxa"/>
            <w:vAlign w:val="bottom"/>
            <w:shd w:val="clear" w:color="auto" w:fill="C43776"/>
          </w:tcPr>
          <w:p>
            <w:pPr>
              <w:spacing w:after="0"/>
              <w:rPr>
                <w:sz w:val="23"/>
                <w:szCs w:val="23"/>
                <w:color w:val="auto"/>
              </w:rPr>
            </w:pPr>
          </w:p>
        </w:tc>
        <w:tc>
          <w:tcPr>
            <w:tcW w:w="860" w:type="dxa"/>
            <w:vAlign w:val="bottom"/>
            <w:shd w:val="clear" w:color="auto" w:fill="C43776"/>
          </w:tcPr>
          <w:p>
            <w:pPr>
              <w:spacing w:after="0"/>
              <w:rPr>
                <w:sz w:val="23"/>
                <w:szCs w:val="23"/>
                <w:color w:val="auto"/>
              </w:rPr>
            </w:pPr>
          </w:p>
        </w:tc>
        <w:tc>
          <w:tcPr>
            <w:tcW w:w="100" w:type="dxa"/>
            <w:vAlign w:val="bottom"/>
            <w:shd w:val="clear" w:color="auto" w:fill="C43776"/>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43776"/>
          </w:tcPr>
          <w:p>
            <w:pPr>
              <w:spacing w:after="0"/>
              <w:rPr>
                <w:sz w:val="12"/>
                <w:szCs w:val="12"/>
                <w:color w:val="auto"/>
              </w:rPr>
            </w:pPr>
          </w:p>
        </w:tc>
        <w:tc>
          <w:tcPr>
            <w:tcW w:w="1520" w:type="dxa"/>
            <w:vAlign w:val="bottom"/>
            <w:shd w:val="clear" w:color="auto" w:fill="C43776"/>
          </w:tcPr>
          <w:p>
            <w:pPr>
              <w:spacing w:after="0"/>
              <w:rPr>
                <w:sz w:val="12"/>
                <w:szCs w:val="12"/>
                <w:color w:val="auto"/>
              </w:rPr>
            </w:pPr>
          </w:p>
        </w:tc>
        <w:tc>
          <w:tcPr>
            <w:tcW w:w="900" w:type="dxa"/>
            <w:vAlign w:val="bottom"/>
            <w:shd w:val="clear" w:color="auto" w:fill="C43776"/>
          </w:tcPr>
          <w:p>
            <w:pPr>
              <w:spacing w:after="0"/>
              <w:rPr>
                <w:sz w:val="12"/>
                <w:szCs w:val="12"/>
                <w:color w:val="auto"/>
              </w:rPr>
            </w:pPr>
          </w:p>
        </w:tc>
        <w:tc>
          <w:tcPr>
            <w:tcW w:w="100" w:type="dxa"/>
            <w:vAlign w:val="bottom"/>
            <w:shd w:val="clear" w:color="auto" w:fill="C43776"/>
          </w:tcPr>
          <w:p>
            <w:pPr>
              <w:spacing w:after="0"/>
              <w:rPr>
                <w:sz w:val="12"/>
                <w:szCs w:val="12"/>
                <w:color w:val="auto"/>
              </w:rPr>
            </w:pPr>
          </w:p>
        </w:tc>
        <w:tc>
          <w:tcPr>
            <w:tcW w:w="2420" w:type="dxa"/>
            <w:vAlign w:val="bottom"/>
            <w:gridSpan w:val="3"/>
            <w:vMerge w:val="continue"/>
            <w:shd w:val="clear" w:color="auto" w:fill="C43776"/>
          </w:tcPr>
          <w:p>
            <w:pPr>
              <w:spacing w:after="0"/>
              <w:rPr>
                <w:sz w:val="12"/>
                <w:szCs w:val="12"/>
                <w:color w:val="auto"/>
              </w:rPr>
            </w:pPr>
          </w:p>
        </w:tc>
        <w:tc>
          <w:tcPr>
            <w:tcW w:w="9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Stock</w:t>
            </w:r>
          </w:p>
        </w:tc>
        <w:tc>
          <w:tcPr>
            <w:tcW w:w="10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Option</w:t>
            </w:r>
          </w:p>
        </w:tc>
        <w:tc>
          <w:tcPr>
            <w:tcW w:w="1100" w:type="dxa"/>
            <w:vAlign w:val="bottom"/>
            <w:shd w:val="clear" w:color="auto" w:fill="C43776"/>
          </w:tcPr>
          <w:p>
            <w:pPr>
              <w:spacing w:after="0"/>
              <w:rPr>
                <w:sz w:val="12"/>
                <w:szCs w:val="12"/>
                <w:color w:val="auto"/>
              </w:rPr>
            </w:pPr>
          </w:p>
        </w:tc>
        <w:tc>
          <w:tcPr>
            <w:tcW w:w="8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Grant</w:t>
            </w:r>
          </w:p>
        </w:tc>
        <w:tc>
          <w:tcPr>
            <w:tcW w:w="100" w:type="dxa"/>
            <w:vAlign w:val="bottom"/>
            <w:shd w:val="clear" w:color="auto" w:fill="C4377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43776"/>
          </w:tcPr>
          <w:p>
            <w:pPr>
              <w:spacing w:after="0"/>
              <w:rPr>
                <w:sz w:val="12"/>
                <w:szCs w:val="12"/>
                <w:color w:val="auto"/>
              </w:rPr>
            </w:pPr>
          </w:p>
        </w:tc>
        <w:tc>
          <w:tcPr>
            <w:tcW w:w="1520" w:type="dxa"/>
            <w:vAlign w:val="bottom"/>
            <w:shd w:val="clear" w:color="auto" w:fill="C43776"/>
          </w:tcPr>
          <w:p>
            <w:pPr>
              <w:spacing w:after="0"/>
              <w:rPr>
                <w:sz w:val="12"/>
                <w:szCs w:val="12"/>
                <w:color w:val="auto"/>
              </w:rPr>
            </w:pPr>
          </w:p>
        </w:tc>
        <w:tc>
          <w:tcPr>
            <w:tcW w:w="900" w:type="dxa"/>
            <w:vAlign w:val="bottom"/>
            <w:shd w:val="clear" w:color="auto" w:fill="C43776"/>
          </w:tcPr>
          <w:p>
            <w:pPr>
              <w:spacing w:after="0"/>
              <w:rPr>
                <w:sz w:val="12"/>
                <w:szCs w:val="12"/>
                <w:color w:val="auto"/>
              </w:rPr>
            </w:pPr>
          </w:p>
        </w:tc>
        <w:tc>
          <w:tcPr>
            <w:tcW w:w="100" w:type="dxa"/>
            <w:vAlign w:val="bottom"/>
            <w:shd w:val="clear" w:color="auto" w:fill="C43776"/>
          </w:tcPr>
          <w:p>
            <w:pPr>
              <w:spacing w:after="0"/>
              <w:rPr>
                <w:sz w:val="12"/>
                <w:szCs w:val="12"/>
                <w:color w:val="auto"/>
              </w:rPr>
            </w:pPr>
          </w:p>
        </w:tc>
        <w:tc>
          <w:tcPr>
            <w:tcW w:w="2420" w:type="dxa"/>
            <w:vAlign w:val="bottom"/>
            <w:gridSpan w:val="3"/>
            <w:shd w:val="clear" w:color="auto" w:fill="C43776"/>
          </w:tcPr>
          <w:p>
            <w:pPr>
              <w:jc w:val="center"/>
              <w:spacing w:after="0"/>
              <w:rPr>
                <w:sz w:val="20"/>
                <w:szCs w:val="20"/>
                <w:color w:val="auto"/>
              </w:rPr>
            </w:pPr>
            <w:r>
              <w:rPr>
                <w:rFonts w:ascii="Arial" w:cs="Arial" w:eastAsia="Arial" w:hAnsi="Arial"/>
                <w:sz w:val="13"/>
                <w:szCs w:val="13"/>
                <w:b w:val="1"/>
                <w:bCs w:val="1"/>
                <w:color w:val="FFFFFF"/>
                <w:w w:val="97"/>
              </w:rPr>
              <w:t>Under Equity Incentive</w:t>
            </w:r>
          </w:p>
        </w:tc>
        <w:tc>
          <w:tcPr>
            <w:tcW w:w="9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Awards:</w:t>
            </w:r>
          </w:p>
        </w:tc>
        <w:tc>
          <w:tcPr>
            <w:tcW w:w="10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Awards:</w:t>
            </w:r>
          </w:p>
        </w:tc>
        <w:tc>
          <w:tcPr>
            <w:tcW w:w="1100" w:type="dxa"/>
            <w:vAlign w:val="bottom"/>
            <w:shd w:val="clear" w:color="auto" w:fill="C43776"/>
          </w:tcPr>
          <w:p>
            <w:pPr>
              <w:spacing w:after="0"/>
              <w:rPr>
                <w:sz w:val="12"/>
                <w:szCs w:val="12"/>
                <w:color w:val="auto"/>
              </w:rPr>
            </w:pPr>
          </w:p>
        </w:tc>
        <w:tc>
          <w:tcPr>
            <w:tcW w:w="8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Date Fair</w:t>
            </w:r>
          </w:p>
        </w:tc>
        <w:tc>
          <w:tcPr>
            <w:tcW w:w="100" w:type="dxa"/>
            <w:vAlign w:val="bottom"/>
            <w:shd w:val="clear" w:color="auto" w:fill="C4377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43776"/>
          </w:tcPr>
          <w:p>
            <w:pPr>
              <w:spacing w:after="0"/>
              <w:rPr>
                <w:sz w:val="14"/>
                <w:szCs w:val="14"/>
                <w:color w:val="auto"/>
              </w:rPr>
            </w:pPr>
          </w:p>
        </w:tc>
        <w:tc>
          <w:tcPr>
            <w:tcW w:w="1520" w:type="dxa"/>
            <w:vAlign w:val="bottom"/>
            <w:shd w:val="clear" w:color="auto" w:fill="C43776"/>
          </w:tcPr>
          <w:p>
            <w:pPr>
              <w:spacing w:after="0"/>
              <w:rPr>
                <w:sz w:val="14"/>
                <w:szCs w:val="14"/>
                <w:color w:val="auto"/>
              </w:rPr>
            </w:pPr>
          </w:p>
        </w:tc>
        <w:tc>
          <w:tcPr>
            <w:tcW w:w="900" w:type="dxa"/>
            <w:vAlign w:val="bottom"/>
            <w:shd w:val="clear" w:color="auto" w:fill="C43776"/>
          </w:tcPr>
          <w:p>
            <w:pPr>
              <w:spacing w:after="0"/>
              <w:rPr>
                <w:sz w:val="14"/>
                <w:szCs w:val="14"/>
                <w:color w:val="auto"/>
              </w:rPr>
            </w:pPr>
          </w:p>
        </w:tc>
        <w:tc>
          <w:tcPr>
            <w:tcW w:w="100" w:type="dxa"/>
            <w:vAlign w:val="bottom"/>
            <w:shd w:val="clear" w:color="auto" w:fill="C43776"/>
          </w:tcPr>
          <w:p>
            <w:pPr>
              <w:spacing w:after="0"/>
              <w:rPr>
                <w:sz w:val="14"/>
                <w:szCs w:val="14"/>
                <w:color w:val="auto"/>
              </w:rPr>
            </w:pPr>
          </w:p>
        </w:tc>
        <w:tc>
          <w:tcPr>
            <w:tcW w:w="800" w:type="dxa"/>
            <w:vAlign w:val="bottom"/>
            <w:shd w:val="clear" w:color="auto" w:fill="C43776"/>
          </w:tcPr>
          <w:p>
            <w:pPr>
              <w:spacing w:after="0"/>
              <w:rPr>
                <w:sz w:val="14"/>
                <w:szCs w:val="14"/>
                <w:color w:val="auto"/>
              </w:rPr>
            </w:pPr>
          </w:p>
        </w:tc>
        <w:tc>
          <w:tcPr>
            <w:tcW w:w="82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w w:val="94"/>
              </w:rPr>
              <w:t>Plan Awards</w:t>
            </w:r>
          </w:p>
        </w:tc>
        <w:tc>
          <w:tcPr>
            <w:tcW w:w="800" w:type="dxa"/>
            <w:vAlign w:val="bottom"/>
            <w:shd w:val="clear" w:color="auto" w:fill="C43776"/>
          </w:tcPr>
          <w:p>
            <w:pPr>
              <w:spacing w:after="0"/>
              <w:rPr>
                <w:sz w:val="14"/>
                <w:szCs w:val="14"/>
                <w:color w:val="auto"/>
              </w:rPr>
            </w:pPr>
          </w:p>
        </w:tc>
        <w:tc>
          <w:tcPr>
            <w:tcW w:w="9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Number of</w:t>
            </w:r>
          </w:p>
        </w:tc>
        <w:tc>
          <w:tcPr>
            <w:tcW w:w="10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Number of</w:t>
            </w:r>
          </w:p>
        </w:tc>
        <w:tc>
          <w:tcPr>
            <w:tcW w:w="110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Exercise or</w:t>
            </w:r>
          </w:p>
        </w:tc>
        <w:tc>
          <w:tcPr>
            <w:tcW w:w="8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Value of</w:t>
            </w:r>
          </w:p>
        </w:tc>
        <w:tc>
          <w:tcPr>
            <w:tcW w:w="100" w:type="dxa"/>
            <w:vAlign w:val="bottom"/>
            <w:shd w:val="clear" w:color="auto" w:fill="C43776"/>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C43776"/>
          </w:tcPr>
          <w:p>
            <w:pPr>
              <w:spacing w:after="0"/>
              <w:rPr>
                <w:sz w:val="13"/>
                <w:szCs w:val="13"/>
                <w:color w:val="auto"/>
              </w:rPr>
            </w:pPr>
          </w:p>
        </w:tc>
        <w:tc>
          <w:tcPr>
            <w:tcW w:w="1520" w:type="dxa"/>
            <w:vAlign w:val="bottom"/>
            <w:shd w:val="clear" w:color="auto" w:fill="C43776"/>
          </w:tcPr>
          <w:p>
            <w:pPr>
              <w:spacing w:after="0"/>
              <w:rPr>
                <w:sz w:val="13"/>
                <w:szCs w:val="13"/>
                <w:color w:val="auto"/>
              </w:rPr>
            </w:pPr>
          </w:p>
        </w:tc>
        <w:tc>
          <w:tcPr>
            <w:tcW w:w="900" w:type="dxa"/>
            <w:vAlign w:val="bottom"/>
            <w:shd w:val="clear" w:color="auto" w:fill="C43776"/>
          </w:tcPr>
          <w:p>
            <w:pPr>
              <w:spacing w:after="0"/>
              <w:rPr>
                <w:sz w:val="13"/>
                <w:szCs w:val="13"/>
                <w:color w:val="auto"/>
              </w:rPr>
            </w:pPr>
          </w:p>
        </w:tc>
        <w:tc>
          <w:tcPr>
            <w:tcW w:w="100" w:type="dxa"/>
            <w:vAlign w:val="bottom"/>
            <w:shd w:val="clear" w:color="auto" w:fill="C43776"/>
          </w:tcPr>
          <w:p>
            <w:pPr>
              <w:spacing w:after="0"/>
              <w:rPr>
                <w:sz w:val="13"/>
                <w:szCs w:val="13"/>
                <w:color w:val="auto"/>
              </w:rPr>
            </w:pPr>
          </w:p>
        </w:tc>
        <w:tc>
          <w:tcPr>
            <w:tcW w:w="800" w:type="dxa"/>
            <w:vAlign w:val="bottom"/>
            <w:shd w:val="clear" w:color="auto" w:fill="C43776"/>
          </w:tcPr>
          <w:p>
            <w:pPr>
              <w:spacing w:after="0"/>
              <w:rPr>
                <w:sz w:val="13"/>
                <w:szCs w:val="13"/>
                <w:color w:val="auto"/>
              </w:rPr>
            </w:pPr>
          </w:p>
        </w:tc>
        <w:tc>
          <w:tcPr>
            <w:tcW w:w="820" w:type="dxa"/>
            <w:vAlign w:val="bottom"/>
            <w:shd w:val="clear" w:color="auto" w:fill="C43776"/>
          </w:tcPr>
          <w:p>
            <w:pPr>
              <w:spacing w:after="0"/>
              <w:rPr>
                <w:sz w:val="13"/>
                <w:szCs w:val="13"/>
                <w:color w:val="auto"/>
              </w:rPr>
            </w:pPr>
          </w:p>
        </w:tc>
        <w:tc>
          <w:tcPr>
            <w:tcW w:w="800" w:type="dxa"/>
            <w:vAlign w:val="bottom"/>
            <w:shd w:val="clear" w:color="auto" w:fill="C43776"/>
          </w:tcPr>
          <w:p>
            <w:pPr>
              <w:spacing w:after="0"/>
              <w:rPr>
                <w:sz w:val="13"/>
                <w:szCs w:val="13"/>
                <w:color w:val="auto"/>
              </w:rPr>
            </w:pPr>
          </w:p>
        </w:tc>
        <w:tc>
          <w:tcPr>
            <w:tcW w:w="9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Shares of</w:t>
            </w:r>
          </w:p>
        </w:tc>
        <w:tc>
          <w:tcPr>
            <w:tcW w:w="10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Securities</w:t>
            </w:r>
          </w:p>
        </w:tc>
        <w:tc>
          <w:tcPr>
            <w:tcW w:w="110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Base Price</w:t>
            </w:r>
          </w:p>
        </w:tc>
        <w:tc>
          <w:tcPr>
            <w:tcW w:w="8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Stock and</w:t>
            </w:r>
          </w:p>
        </w:tc>
        <w:tc>
          <w:tcPr>
            <w:tcW w:w="100" w:type="dxa"/>
            <w:vAlign w:val="bottom"/>
            <w:shd w:val="clear" w:color="auto" w:fill="C43776"/>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43776"/>
          </w:tcPr>
          <w:p>
            <w:pPr>
              <w:spacing w:after="0"/>
              <w:rPr>
                <w:sz w:val="12"/>
                <w:szCs w:val="12"/>
                <w:color w:val="auto"/>
              </w:rPr>
            </w:pPr>
          </w:p>
        </w:tc>
        <w:tc>
          <w:tcPr>
            <w:tcW w:w="1520" w:type="dxa"/>
            <w:vAlign w:val="bottom"/>
            <w:shd w:val="clear" w:color="auto" w:fill="C43776"/>
          </w:tcPr>
          <w:p>
            <w:pPr>
              <w:spacing w:after="0"/>
              <w:rPr>
                <w:sz w:val="12"/>
                <w:szCs w:val="12"/>
                <w:color w:val="auto"/>
              </w:rPr>
            </w:pPr>
          </w:p>
        </w:tc>
        <w:tc>
          <w:tcPr>
            <w:tcW w:w="900" w:type="dxa"/>
            <w:vAlign w:val="bottom"/>
            <w:shd w:val="clear" w:color="auto" w:fill="C43776"/>
          </w:tcPr>
          <w:p>
            <w:pPr>
              <w:spacing w:after="0"/>
              <w:rPr>
                <w:sz w:val="12"/>
                <w:szCs w:val="12"/>
                <w:color w:val="auto"/>
              </w:rPr>
            </w:pPr>
          </w:p>
        </w:tc>
        <w:tc>
          <w:tcPr>
            <w:tcW w:w="100" w:type="dxa"/>
            <w:vAlign w:val="bottom"/>
            <w:shd w:val="clear" w:color="auto" w:fill="C43776"/>
          </w:tcPr>
          <w:p>
            <w:pPr>
              <w:spacing w:after="0"/>
              <w:rPr>
                <w:sz w:val="12"/>
                <w:szCs w:val="12"/>
                <w:color w:val="auto"/>
              </w:rPr>
            </w:pPr>
          </w:p>
        </w:tc>
        <w:tc>
          <w:tcPr>
            <w:tcW w:w="800" w:type="dxa"/>
            <w:vAlign w:val="bottom"/>
            <w:shd w:val="clear" w:color="auto" w:fill="C43776"/>
          </w:tcPr>
          <w:p>
            <w:pPr>
              <w:spacing w:after="0"/>
              <w:rPr>
                <w:sz w:val="12"/>
                <w:szCs w:val="12"/>
                <w:color w:val="auto"/>
              </w:rPr>
            </w:pPr>
          </w:p>
        </w:tc>
        <w:tc>
          <w:tcPr>
            <w:tcW w:w="820" w:type="dxa"/>
            <w:vAlign w:val="bottom"/>
            <w:shd w:val="clear" w:color="auto" w:fill="C43776"/>
          </w:tcPr>
          <w:p>
            <w:pPr>
              <w:spacing w:after="0"/>
              <w:rPr>
                <w:sz w:val="12"/>
                <w:szCs w:val="12"/>
                <w:color w:val="auto"/>
              </w:rPr>
            </w:pPr>
          </w:p>
        </w:tc>
        <w:tc>
          <w:tcPr>
            <w:tcW w:w="800" w:type="dxa"/>
            <w:vAlign w:val="bottom"/>
            <w:shd w:val="clear" w:color="auto" w:fill="C43776"/>
          </w:tcPr>
          <w:p>
            <w:pPr>
              <w:spacing w:after="0"/>
              <w:rPr>
                <w:sz w:val="12"/>
                <w:szCs w:val="12"/>
                <w:color w:val="auto"/>
              </w:rPr>
            </w:pPr>
          </w:p>
        </w:tc>
        <w:tc>
          <w:tcPr>
            <w:tcW w:w="980" w:type="dxa"/>
            <w:vAlign w:val="bottom"/>
            <w:shd w:val="clear" w:color="auto" w:fill="C43776"/>
          </w:tcPr>
          <w:p>
            <w:pPr>
              <w:jc w:val="right"/>
              <w:spacing w:after="0" w:line="144" w:lineRule="exact"/>
              <w:rPr>
                <w:sz w:val="20"/>
                <w:szCs w:val="20"/>
                <w:color w:val="auto"/>
              </w:rPr>
            </w:pPr>
            <w:r>
              <w:rPr>
                <w:rFonts w:ascii="Arial" w:cs="Arial" w:eastAsia="Arial" w:hAnsi="Arial"/>
                <w:sz w:val="13"/>
                <w:szCs w:val="13"/>
                <w:b w:val="1"/>
                <w:bCs w:val="1"/>
                <w:color w:val="FFFFFF"/>
              </w:rPr>
              <w:t>Stock or</w:t>
            </w:r>
          </w:p>
        </w:tc>
        <w:tc>
          <w:tcPr>
            <w:tcW w:w="1000" w:type="dxa"/>
            <w:vAlign w:val="bottom"/>
            <w:shd w:val="clear" w:color="auto" w:fill="C43776"/>
          </w:tcPr>
          <w:p>
            <w:pPr>
              <w:jc w:val="right"/>
              <w:spacing w:after="0" w:line="144" w:lineRule="exact"/>
              <w:rPr>
                <w:sz w:val="20"/>
                <w:szCs w:val="20"/>
                <w:color w:val="auto"/>
              </w:rPr>
            </w:pPr>
            <w:r>
              <w:rPr>
                <w:rFonts w:ascii="Arial" w:cs="Arial" w:eastAsia="Arial" w:hAnsi="Arial"/>
                <w:sz w:val="13"/>
                <w:szCs w:val="13"/>
                <w:b w:val="1"/>
                <w:bCs w:val="1"/>
                <w:color w:val="FFFFFF"/>
              </w:rPr>
              <w:t>Underlying</w:t>
            </w:r>
          </w:p>
        </w:tc>
        <w:tc>
          <w:tcPr>
            <w:tcW w:w="1100" w:type="dxa"/>
            <w:vAlign w:val="bottom"/>
            <w:shd w:val="clear" w:color="auto" w:fill="C43776"/>
          </w:tcPr>
          <w:p>
            <w:pPr>
              <w:jc w:val="right"/>
              <w:ind w:right="97"/>
              <w:spacing w:after="0" w:line="144" w:lineRule="exact"/>
              <w:rPr>
                <w:sz w:val="20"/>
                <w:szCs w:val="20"/>
                <w:color w:val="auto"/>
              </w:rPr>
            </w:pPr>
            <w:r>
              <w:rPr>
                <w:rFonts w:ascii="Arial" w:cs="Arial" w:eastAsia="Arial" w:hAnsi="Arial"/>
                <w:sz w:val="13"/>
                <w:szCs w:val="13"/>
                <w:b w:val="1"/>
                <w:bCs w:val="1"/>
                <w:color w:val="FFFFFF"/>
              </w:rPr>
              <w:t>of Option</w:t>
            </w:r>
          </w:p>
        </w:tc>
        <w:tc>
          <w:tcPr>
            <w:tcW w:w="860" w:type="dxa"/>
            <w:vAlign w:val="bottom"/>
            <w:shd w:val="clear" w:color="auto" w:fill="C43776"/>
          </w:tcPr>
          <w:p>
            <w:pPr>
              <w:jc w:val="right"/>
              <w:spacing w:after="0" w:line="144" w:lineRule="exact"/>
              <w:rPr>
                <w:sz w:val="20"/>
                <w:szCs w:val="20"/>
                <w:color w:val="auto"/>
              </w:rPr>
            </w:pPr>
            <w:r>
              <w:rPr>
                <w:rFonts w:ascii="Arial" w:cs="Arial" w:eastAsia="Arial" w:hAnsi="Arial"/>
                <w:sz w:val="13"/>
                <w:szCs w:val="13"/>
                <w:b w:val="1"/>
                <w:bCs w:val="1"/>
                <w:color w:val="FFFFFF"/>
              </w:rPr>
              <w:t>Option</w:t>
            </w:r>
          </w:p>
        </w:tc>
        <w:tc>
          <w:tcPr>
            <w:tcW w:w="100" w:type="dxa"/>
            <w:vAlign w:val="bottom"/>
            <w:shd w:val="clear" w:color="auto" w:fill="C4377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43776"/>
          </w:tcPr>
          <w:p>
            <w:pPr>
              <w:spacing w:after="0"/>
              <w:rPr>
                <w:sz w:val="12"/>
                <w:szCs w:val="12"/>
                <w:color w:val="auto"/>
              </w:rPr>
            </w:pPr>
          </w:p>
        </w:tc>
        <w:tc>
          <w:tcPr>
            <w:tcW w:w="1520" w:type="dxa"/>
            <w:vAlign w:val="bottom"/>
            <w:shd w:val="clear" w:color="auto" w:fill="C43776"/>
          </w:tcPr>
          <w:p>
            <w:pPr>
              <w:spacing w:after="0"/>
              <w:rPr>
                <w:sz w:val="12"/>
                <w:szCs w:val="12"/>
                <w:color w:val="auto"/>
              </w:rPr>
            </w:pPr>
          </w:p>
        </w:tc>
        <w:tc>
          <w:tcPr>
            <w:tcW w:w="90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100" w:type="dxa"/>
            <w:vAlign w:val="bottom"/>
            <w:shd w:val="clear" w:color="auto" w:fill="C43776"/>
          </w:tcPr>
          <w:p>
            <w:pPr>
              <w:spacing w:after="0"/>
              <w:rPr>
                <w:sz w:val="12"/>
                <w:szCs w:val="12"/>
                <w:color w:val="auto"/>
              </w:rPr>
            </w:pPr>
          </w:p>
        </w:tc>
        <w:tc>
          <w:tcPr>
            <w:tcW w:w="8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Threshold</w:t>
            </w:r>
          </w:p>
        </w:tc>
        <w:tc>
          <w:tcPr>
            <w:tcW w:w="8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Maximum</w:t>
            </w:r>
          </w:p>
        </w:tc>
        <w:tc>
          <w:tcPr>
            <w:tcW w:w="980" w:type="dxa"/>
            <w:vAlign w:val="bottom"/>
            <w:shd w:val="clear" w:color="auto" w:fill="C43776"/>
          </w:tcPr>
          <w:p>
            <w:pPr>
              <w:jc w:val="right"/>
              <w:spacing w:after="0" w:line="148" w:lineRule="exact"/>
              <w:rPr>
                <w:sz w:val="20"/>
                <w:szCs w:val="20"/>
                <w:color w:val="auto"/>
              </w:rPr>
            </w:pPr>
            <w:r>
              <w:rPr>
                <w:rFonts w:ascii="Arial" w:cs="Arial" w:eastAsia="Arial" w:hAnsi="Arial"/>
                <w:sz w:val="13"/>
                <w:szCs w:val="13"/>
                <w:b w:val="1"/>
                <w:bCs w:val="1"/>
                <w:color w:val="FFFFFF"/>
              </w:rPr>
              <w:t>Units</w:t>
            </w:r>
            <w:r>
              <w:rPr>
                <w:rFonts w:ascii="Arial" w:cs="Arial" w:eastAsia="Arial" w:hAnsi="Arial"/>
                <w:sz w:val="16"/>
                <w:szCs w:val="16"/>
                <w:b w:val="1"/>
                <w:bCs w:val="1"/>
                <w:color w:val="FFFFFF"/>
                <w:vertAlign w:val="superscript"/>
              </w:rPr>
              <w:t>(1)</w:t>
            </w:r>
          </w:p>
        </w:tc>
        <w:tc>
          <w:tcPr>
            <w:tcW w:w="1000" w:type="dxa"/>
            <w:vAlign w:val="bottom"/>
            <w:shd w:val="clear" w:color="auto" w:fill="C43776"/>
          </w:tcPr>
          <w:p>
            <w:pPr>
              <w:jc w:val="right"/>
              <w:spacing w:after="0" w:line="148" w:lineRule="exact"/>
              <w:rPr>
                <w:sz w:val="20"/>
                <w:szCs w:val="20"/>
                <w:color w:val="auto"/>
              </w:rPr>
            </w:pPr>
            <w:r>
              <w:rPr>
                <w:rFonts w:ascii="Arial" w:cs="Arial" w:eastAsia="Arial" w:hAnsi="Arial"/>
                <w:sz w:val="13"/>
                <w:szCs w:val="13"/>
                <w:b w:val="1"/>
                <w:bCs w:val="1"/>
                <w:color w:val="FFFFFF"/>
              </w:rPr>
              <w:t>Options</w:t>
            </w:r>
            <w:r>
              <w:rPr>
                <w:rFonts w:ascii="Arial" w:cs="Arial" w:eastAsia="Arial" w:hAnsi="Arial"/>
                <w:sz w:val="16"/>
                <w:szCs w:val="16"/>
                <w:b w:val="1"/>
                <w:bCs w:val="1"/>
                <w:color w:val="FFFFFF"/>
                <w:vertAlign w:val="superscript"/>
              </w:rPr>
              <w:t>(2)</w:t>
            </w:r>
          </w:p>
        </w:tc>
        <w:tc>
          <w:tcPr>
            <w:tcW w:w="110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860" w:type="dxa"/>
            <w:vAlign w:val="bottom"/>
            <w:shd w:val="clear" w:color="auto" w:fill="C43776"/>
          </w:tcPr>
          <w:p>
            <w:pPr>
              <w:jc w:val="right"/>
              <w:spacing w:after="0" w:line="148"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6"/>
                <w:szCs w:val="16"/>
                <w:b w:val="1"/>
                <w:bCs w:val="1"/>
                <w:color w:val="FFFFFF"/>
                <w:vertAlign w:val="superscript"/>
              </w:rPr>
              <w:t>(3)</w:t>
            </w:r>
          </w:p>
        </w:tc>
        <w:tc>
          <w:tcPr>
            <w:tcW w:w="100" w:type="dxa"/>
            <w:vAlign w:val="bottom"/>
            <w:shd w:val="clear" w:color="auto" w:fill="C43776"/>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C43776"/>
          </w:tcPr>
          <w:p>
            <w:pPr>
              <w:spacing w:after="0"/>
              <w:rPr>
                <w:sz w:val="14"/>
                <w:szCs w:val="14"/>
                <w:color w:val="auto"/>
              </w:rPr>
            </w:pPr>
          </w:p>
        </w:tc>
        <w:tc>
          <w:tcPr>
            <w:tcW w:w="1520" w:type="dxa"/>
            <w:vAlign w:val="bottom"/>
            <w:shd w:val="clear" w:color="auto" w:fill="C43776"/>
          </w:tcPr>
          <w:p>
            <w:pPr>
              <w:ind w:left="40"/>
              <w:spacing w:after="0"/>
              <w:rPr>
                <w:sz w:val="20"/>
                <w:szCs w:val="20"/>
                <w:color w:val="auto"/>
              </w:rPr>
            </w:pPr>
            <w:r>
              <w:rPr>
                <w:rFonts w:ascii="Arial" w:cs="Arial" w:eastAsia="Arial" w:hAnsi="Arial"/>
                <w:sz w:val="13"/>
                <w:szCs w:val="13"/>
                <w:b w:val="1"/>
                <w:bCs w:val="1"/>
                <w:color w:val="FFFFFF"/>
              </w:rPr>
              <w:t>Name</w:t>
            </w:r>
          </w:p>
        </w:tc>
        <w:tc>
          <w:tcPr>
            <w:tcW w:w="900" w:type="dxa"/>
            <w:vAlign w:val="bottom"/>
            <w:shd w:val="clear" w:color="auto" w:fill="C43776"/>
          </w:tcPr>
          <w:p>
            <w:pPr>
              <w:jc w:val="center"/>
              <w:spacing w:after="0"/>
              <w:rPr>
                <w:sz w:val="20"/>
                <w:szCs w:val="20"/>
                <w:color w:val="auto"/>
              </w:rPr>
            </w:pPr>
            <w:r>
              <w:rPr>
                <w:rFonts w:ascii="Arial" w:cs="Arial" w:eastAsia="Arial" w:hAnsi="Arial"/>
                <w:sz w:val="13"/>
                <w:szCs w:val="13"/>
                <w:b w:val="1"/>
                <w:bCs w:val="1"/>
                <w:color w:val="FFFFFF"/>
                <w:w w:val="92"/>
              </w:rPr>
              <w:t>Date</w:t>
            </w:r>
          </w:p>
        </w:tc>
        <w:tc>
          <w:tcPr>
            <w:tcW w:w="100" w:type="dxa"/>
            <w:vAlign w:val="bottom"/>
            <w:shd w:val="clear" w:color="auto" w:fill="C43776"/>
          </w:tcPr>
          <w:p>
            <w:pPr>
              <w:spacing w:after="0"/>
              <w:rPr>
                <w:sz w:val="14"/>
                <w:szCs w:val="14"/>
                <w:color w:val="auto"/>
              </w:rPr>
            </w:pPr>
          </w:p>
        </w:tc>
        <w:tc>
          <w:tcPr>
            <w:tcW w:w="8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C43776"/>
          </w:tcPr>
          <w:p>
            <w:pPr>
              <w:jc w:val="right"/>
              <w:ind w:right="97"/>
              <w:spacing w:after="0"/>
              <w:rPr>
                <w:sz w:val="20"/>
                <w:szCs w:val="20"/>
                <w:color w:val="auto"/>
              </w:rPr>
            </w:pPr>
            <w:r>
              <w:rPr>
                <w:rFonts w:ascii="Arial" w:cs="Arial" w:eastAsia="Arial" w:hAnsi="Arial"/>
                <w:sz w:val="13"/>
                <w:szCs w:val="13"/>
                <w:b w:val="1"/>
                <w:bCs w:val="1"/>
                <w:color w:val="FFFFFF"/>
              </w:rPr>
              <w:t>($/Sh)</w:t>
            </w:r>
          </w:p>
        </w:tc>
        <w:tc>
          <w:tcPr>
            <w:tcW w:w="8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C43776"/>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00" w:type="dxa"/>
            <w:vAlign w:val="bottom"/>
            <w:shd w:val="clear" w:color="auto" w:fill="C43776"/>
          </w:tcPr>
          <w:p>
            <w:pPr>
              <w:spacing w:after="0"/>
              <w:rPr>
                <w:sz w:val="8"/>
                <w:szCs w:val="8"/>
                <w:color w:val="auto"/>
              </w:rPr>
            </w:pPr>
          </w:p>
        </w:tc>
        <w:tc>
          <w:tcPr>
            <w:tcW w:w="1520" w:type="dxa"/>
            <w:vAlign w:val="bottom"/>
            <w:shd w:val="clear" w:color="auto" w:fill="C43776"/>
          </w:tcPr>
          <w:p>
            <w:pPr>
              <w:spacing w:after="0"/>
              <w:rPr>
                <w:sz w:val="8"/>
                <w:szCs w:val="8"/>
                <w:color w:val="auto"/>
              </w:rPr>
            </w:pPr>
          </w:p>
        </w:tc>
        <w:tc>
          <w:tcPr>
            <w:tcW w:w="900" w:type="dxa"/>
            <w:vAlign w:val="bottom"/>
            <w:shd w:val="clear" w:color="auto" w:fill="C43776"/>
          </w:tcPr>
          <w:p>
            <w:pPr>
              <w:spacing w:after="0"/>
              <w:rPr>
                <w:sz w:val="8"/>
                <w:szCs w:val="8"/>
                <w:color w:val="auto"/>
              </w:rPr>
            </w:pPr>
          </w:p>
        </w:tc>
        <w:tc>
          <w:tcPr>
            <w:tcW w:w="100" w:type="dxa"/>
            <w:vAlign w:val="bottom"/>
            <w:shd w:val="clear" w:color="auto" w:fill="C43776"/>
          </w:tcPr>
          <w:p>
            <w:pPr>
              <w:spacing w:after="0"/>
              <w:rPr>
                <w:sz w:val="8"/>
                <w:szCs w:val="8"/>
                <w:color w:val="auto"/>
              </w:rPr>
            </w:pPr>
          </w:p>
        </w:tc>
        <w:tc>
          <w:tcPr>
            <w:tcW w:w="800" w:type="dxa"/>
            <w:vAlign w:val="bottom"/>
            <w:shd w:val="clear" w:color="auto" w:fill="C43776"/>
          </w:tcPr>
          <w:p>
            <w:pPr>
              <w:spacing w:after="0"/>
              <w:rPr>
                <w:sz w:val="8"/>
                <w:szCs w:val="8"/>
                <w:color w:val="auto"/>
              </w:rPr>
            </w:pPr>
          </w:p>
        </w:tc>
        <w:tc>
          <w:tcPr>
            <w:tcW w:w="820" w:type="dxa"/>
            <w:vAlign w:val="bottom"/>
            <w:shd w:val="clear" w:color="auto" w:fill="C43776"/>
          </w:tcPr>
          <w:p>
            <w:pPr>
              <w:spacing w:after="0"/>
              <w:rPr>
                <w:sz w:val="8"/>
                <w:szCs w:val="8"/>
                <w:color w:val="auto"/>
              </w:rPr>
            </w:pPr>
          </w:p>
        </w:tc>
        <w:tc>
          <w:tcPr>
            <w:tcW w:w="800" w:type="dxa"/>
            <w:vAlign w:val="bottom"/>
            <w:shd w:val="clear" w:color="auto" w:fill="C43776"/>
          </w:tcPr>
          <w:p>
            <w:pPr>
              <w:spacing w:after="0"/>
              <w:rPr>
                <w:sz w:val="8"/>
                <w:szCs w:val="8"/>
                <w:color w:val="auto"/>
              </w:rPr>
            </w:pPr>
          </w:p>
        </w:tc>
        <w:tc>
          <w:tcPr>
            <w:tcW w:w="980" w:type="dxa"/>
            <w:vAlign w:val="bottom"/>
            <w:shd w:val="clear" w:color="auto" w:fill="C43776"/>
          </w:tcPr>
          <w:p>
            <w:pPr>
              <w:spacing w:after="0"/>
              <w:rPr>
                <w:sz w:val="8"/>
                <w:szCs w:val="8"/>
                <w:color w:val="auto"/>
              </w:rPr>
            </w:pPr>
          </w:p>
        </w:tc>
        <w:tc>
          <w:tcPr>
            <w:tcW w:w="100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c>
          <w:tcPr>
            <w:tcW w:w="860" w:type="dxa"/>
            <w:vAlign w:val="bottom"/>
            <w:shd w:val="clear" w:color="auto" w:fill="C43776"/>
          </w:tcPr>
          <w:p>
            <w:pPr>
              <w:spacing w:after="0"/>
              <w:rPr>
                <w:sz w:val="8"/>
                <w:szCs w:val="8"/>
                <w:color w:val="auto"/>
              </w:rPr>
            </w:pPr>
          </w:p>
        </w:tc>
        <w:tc>
          <w:tcPr>
            <w:tcW w:w="10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520" w:type="dxa"/>
            <w:vAlign w:val="bottom"/>
          </w:tcPr>
          <w:p>
            <w:pPr>
              <w:ind w:left="40"/>
              <w:spacing w:after="0"/>
              <w:rPr>
                <w:sz w:val="20"/>
                <w:szCs w:val="20"/>
                <w:color w:val="auto"/>
              </w:rPr>
            </w:pPr>
            <w:r>
              <w:rPr>
                <w:rFonts w:ascii="Arial" w:cs="Arial" w:eastAsia="Arial" w:hAnsi="Arial"/>
                <w:sz w:val="13"/>
                <w:szCs w:val="13"/>
                <w:b w:val="1"/>
                <w:bCs w:val="1"/>
                <w:color w:val="auto"/>
              </w:rPr>
              <w:t>Ronald F. Clarke</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5,301</w:t>
            </w:r>
          </w:p>
        </w:tc>
        <w:tc>
          <w:tcPr>
            <w:tcW w:w="800" w:type="dxa"/>
            <w:vAlign w:val="bottom"/>
          </w:tcPr>
          <w:p>
            <w:pPr>
              <w:jc w:val="right"/>
              <w:spacing w:after="0"/>
              <w:rPr>
                <w:sz w:val="20"/>
                <w:szCs w:val="20"/>
                <w:color w:val="auto"/>
              </w:rPr>
            </w:pPr>
            <w:r>
              <w:rPr>
                <w:rFonts w:ascii="Arial" w:cs="Arial" w:eastAsia="Arial" w:hAnsi="Arial"/>
                <w:sz w:val="13"/>
                <w:szCs w:val="13"/>
                <w:color w:val="auto"/>
              </w:rPr>
              <w:t>10,602</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2,000,120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7/15/2025</w:t>
            </w:r>
            <w:r>
              <w:rPr>
                <w:rFonts w:ascii="Arial" w:cs="Arial" w:eastAsia="Arial" w:hAnsi="Arial"/>
                <w:sz w:val="16"/>
                <w:szCs w:val="16"/>
                <w:color w:val="auto"/>
                <w:w w:val="93"/>
                <w:vertAlign w:val="superscript"/>
              </w:rPr>
              <w:t>(4)</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574</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718</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183,456</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F1F2F2"/>
          </w:tcPr>
          <w:p>
            <w:pPr>
              <w:spacing w:after="0"/>
              <w:rPr>
                <w:sz w:val="17"/>
                <w:szCs w:val="17"/>
                <w:color w:val="auto"/>
              </w:rPr>
            </w:pPr>
          </w:p>
        </w:tc>
        <w:tc>
          <w:tcPr>
            <w:tcW w:w="1520" w:type="dxa"/>
            <w:vAlign w:val="bottom"/>
            <w:shd w:val="clear" w:color="auto" w:fill="F1F2F2"/>
          </w:tcPr>
          <w:p>
            <w:pPr>
              <w:spacing w:after="0"/>
              <w:rPr>
                <w:sz w:val="17"/>
                <w:szCs w:val="17"/>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7/15/2025</w:t>
            </w:r>
          </w:p>
        </w:tc>
        <w:tc>
          <w:tcPr>
            <w:tcW w:w="100" w:type="dxa"/>
            <w:vAlign w:val="bottom"/>
            <w:shd w:val="clear" w:color="auto" w:fill="F1F2F2"/>
          </w:tcPr>
          <w:p>
            <w:pPr>
              <w:spacing w:after="0"/>
              <w:rPr>
                <w:sz w:val="17"/>
                <w:szCs w:val="17"/>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1,252</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400,152</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F1F2F2"/>
          </w:tcPr>
          <w:p>
            <w:pPr>
              <w:spacing w:after="0"/>
              <w:rPr>
                <w:sz w:val="22"/>
                <w:szCs w:val="22"/>
                <w:color w:val="auto"/>
              </w:rPr>
            </w:pPr>
          </w:p>
        </w:tc>
        <w:tc>
          <w:tcPr>
            <w:tcW w:w="1520" w:type="dxa"/>
            <w:vAlign w:val="bottom"/>
            <w:shd w:val="clear" w:color="auto" w:fill="F1F2F2"/>
          </w:tcPr>
          <w:p>
            <w:pPr>
              <w:spacing w:after="0"/>
              <w:rPr>
                <w:sz w:val="22"/>
                <w:szCs w:val="22"/>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7/15/2025</w:t>
            </w:r>
            <w:r>
              <w:rPr>
                <w:rFonts w:ascii="Arial" w:cs="Arial" w:eastAsia="Arial" w:hAnsi="Arial"/>
                <w:sz w:val="16"/>
                <w:szCs w:val="16"/>
                <w:color w:val="auto"/>
                <w:w w:val="93"/>
                <w:vertAlign w:val="superscript"/>
              </w:rPr>
              <w:t>(6)</w:t>
            </w:r>
          </w:p>
        </w:tc>
        <w:tc>
          <w:tcPr>
            <w:tcW w:w="100" w:type="dxa"/>
            <w:vAlign w:val="bottom"/>
            <w:shd w:val="clear" w:color="auto" w:fill="F1F2F2"/>
          </w:tcPr>
          <w:p>
            <w:pPr>
              <w:spacing w:after="0"/>
              <w:rPr>
                <w:sz w:val="22"/>
                <w:szCs w:val="22"/>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1,205</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1,808</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385,130</w:t>
            </w:r>
          </w:p>
        </w:tc>
        <w:tc>
          <w:tcPr>
            <w:tcW w:w="10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F1F2F2"/>
          </w:tcPr>
          <w:p>
            <w:pPr>
              <w:spacing w:after="0"/>
              <w:rPr>
                <w:sz w:val="19"/>
                <w:szCs w:val="19"/>
                <w:color w:val="auto"/>
              </w:rPr>
            </w:pPr>
          </w:p>
        </w:tc>
        <w:tc>
          <w:tcPr>
            <w:tcW w:w="1520" w:type="dxa"/>
            <w:vAlign w:val="bottom"/>
            <w:vMerge w:val="restart"/>
            <w:shd w:val="clear" w:color="auto" w:fill="F1F2F2"/>
          </w:tcPr>
          <w:p>
            <w:pPr>
              <w:ind w:left="40"/>
              <w:spacing w:after="0"/>
              <w:rPr>
                <w:sz w:val="20"/>
                <w:szCs w:val="20"/>
                <w:color w:val="auto"/>
              </w:rPr>
            </w:pPr>
            <w:r>
              <w:rPr>
                <w:rFonts w:ascii="Arial" w:cs="Arial" w:eastAsia="Arial" w:hAnsi="Arial"/>
                <w:sz w:val="13"/>
                <w:szCs w:val="13"/>
                <w:b w:val="1"/>
                <w:bCs w:val="1"/>
                <w:color w:val="auto"/>
              </w:rPr>
              <w:t>Peter Walker</w:t>
            </w: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7/15/2025</w:t>
            </w:r>
            <w:r>
              <w:rPr>
                <w:rFonts w:ascii="Arial" w:cs="Arial" w:eastAsia="Arial" w:hAnsi="Arial"/>
                <w:sz w:val="16"/>
                <w:szCs w:val="16"/>
                <w:color w:val="auto"/>
                <w:w w:val="93"/>
                <w:vertAlign w:val="superscript"/>
              </w:rPr>
              <w:t>(6)</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517</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776</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165,238</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00" w:type="dxa"/>
            <w:vAlign w:val="bottom"/>
            <w:shd w:val="clear" w:color="auto" w:fill="F1F2F2"/>
          </w:tcPr>
          <w:p>
            <w:pPr>
              <w:spacing w:after="0"/>
              <w:rPr>
                <w:sz w:val="8"/>
                <w:szCs w:val="8"/>
                <w:color w:val="auto"/>
              </w:rPr>
            </w:pPr>
          </w:p>
        </w:tc>
        <w:tc>
          <w:tcPr>
            <w:tcW w:w="1520" w:type="dxa"/>
            <w:vAlign w:val="bottom"/>
            <w:vMerge w:val="continue"/>
            <w:shd w:val="clear" w:color="auto" w:fill="F1F2F2"/>
          </w:tcPr>
          <w:p>
            <w:pPr>
              <w:spacing w:after="0"/>
              <w:rPr>
                <w:sz w:val="8"/>
                <w:szCs w:val="8"/>
                <w:color w:val="auto"/>
              </w:rPr>
            </w:pPr>
          </w:p>
        </w:tc>
        <w:tc>
          <w:tcPr>
            <w:tcW w:w="90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6"/>
              </w:rPr>
              <w:t>7/15/2025</w:t>
            </w:r>
          </w:p>
        </w:tc>
        <w:tc>
          <w:tcPr>
            <w:tcW w:w="100" w:type="dxa"/>
            <w:vAlign w:val="bottom"/>
            <w:shd w:val="clear" w:color="auto" w:fill="F1F2F2"/>
          </w:tcPr>
          <w:p>
            <w:pPr>
              <w:spacing w:after="0"/>
              <w:rPr>
                <w:sz w:val="8"/>
                <w:szCs w:val="8"/>
                <w:color w:val="auto"/>
              </w:rPr>
            </w:pPr>
          </w:p>
        </w:tc>
        <w:tc>
          <w:tcPr>
            <w:tcW w:w="8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861</w:t>
            </w:r>
          </w:p>
        </w:tc>
        <w:tc>
          <w:tcPr>
            <w:tcW w:w="10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275,184</w:t>
            </w: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 w:type="dxa"/>
            <w:vAlign w:val="bottom"/>
            <w:shd w:val="clear" w:color="auto" w:fill="F1F2F2"/>
          </w:tcPr>
          <w:p>
            <w:pPr>
              <w:spacing w:after="0"/>
              <w:rPr>
                <w:sz w:val="8"/>
                <w:szCs w:val="8"/>
                <w:color w:val="auto"/>
              </w:rPr>
            </w:pPr>
          </w:p>
        </w:tc>
        <w:tc>
          <w:tcPr>
            <w:tcW w:w="1520" w:type="dxa"/>
            <w:vAlign w:val="bottom"/>
            <w:shd w:val="clear" w:color="auto" w:fill="F1F2F2"/>
          </w:tcPr>
          <w:p>
            <w:pPr>
              <w:spacing w:after="0"/>
              <w:rPr>
                <w:sz w:val="8"/>
                <w:szCs w:val="8"/>
                <w:color w:val="auto"/>
              </w:rPr>
            </w:pPr>
          </w:p>
        </w:tc>
        <w:tc>
          <w:tcPr>
            <w:tcW w:w="900" w:type="dxa"/>
            <w:vAlign w:val="bottom"/>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800" w:type="dxa"/>
            <w:vAlign w:val="bottom"/>
            <w:vMerge w:val="continue"/>
            <w:shd w:val="clear" w:color="auto" w:fill="F1F2F2"/>
          </w:tcPr>
          <w:p>
            <w:pPr>
              <w:spacing w:after="0"/>
              <w:rPr>
                <w:sz w:val="8"/>
                <w:szCs w:val="8"/>
                <w:color w:val="auto"/>
              </w:rPr>
            </w:pPr>
          </w:p>
        </w:tc>
        <w:tc>
          <w:tcPr>
            <w:tcW w:w="820" w:type="dxa"/>
            <w:vAlign w:val="bottom"/>
            <w:vMerge w:val="continue"/>
            <w:shd w:val="clear" w:color="auto" w:fill="F1F2F2"/>
          </w:tcPr>
          <w:p>
            <w:pPr>
              <w:spacing w:after="0"/>
              <w:rPr>
                <w:sz w:val="8"/>
                <w:szCs w:val="8"/>
                <w:color w:val="auto"/>
              </w:rPr>
            </w:pPr>
          </w:p>
        </w:tc>
        <w:tc>
          <w:tcPr>
            <w:tcW w:w="800" w:type="dxa"/>
            <w:vAlign w:val="bottom"/>
            <w:vMerge w:val="continue"/>
            <w:shd w:val="clear" w:color="auto" w:fill="F1F2F2"/>
          </w:tcPr>
          <w:p>
            <w:pPr>
              <w:spacing w:after="0"/>
              <w:rPr>
                <w:sz w:val="8"/>
                <w:szCs w:val="8"/>
                <w:color w:val="auto"/>
              </w:rPr>
            </w:pPr>
          </w:p>
        </w:tc>
        <w:tc>
          <w:tcPr>
            <w:tcW w:w="980" w:type="dxa"/>
            <w:vAlign w:val="bottom"/>
            <w:vMerge w:val="continue"/>
            <w:shd w:val="clear" w:color="auto" w:fill="F1F2F2"/>
          </w:tcPr>
          <w:p>
            <w:pPr>
              <w:spacing w:after="0"/>
              <w:rPr>
                <w:sz w:val="8"/>
                <w:szCs w:val="8"/>
                <w:color w:val="auto"/>
              </w:rPr>
            </w:pPr>
          </w:p>
        </w:tc>
        <w:tc>
          <w:tcPr>
            <w:tcW w:w="1000" w:type="dxa"/>
            <w:vAlign w:val="bottom"/>
            <w:vMerge w:val="continue"/>
            <w:shd w:val="clear" w:color="auto" w:fill="F1F2F2"/>
          </w:tcPr>
          <w:p>
            <w:pPr>
              <w:spacing w:after="0"/>
              <w:rPr>
                <w:sz w:val="8"/>
                <w:szCs w:val="8"/>
                <w:color w:val="auto"/>
              </w:rPr>
            </w:pPr>
          </w:p>
        </w:tc>
        <w:tc>
          <w:tcPr>
            <w:tcW w:w="1100" w:type="dxa"/>
            <w:vAlign w:val="bottom"/>
            <w:vMerge w:val="continue"/>
            <w:shd w:val="clear" w:color="auto" w:fill="F1F2F2"/>
          </w:tcPr>
          <w:p>
            <w:pPr>
              <w:spacing w:after="0"/>
              <w:rPr>
                <w:sz w:val="8"/>
                <w:szCs w:val="8"/>
                <w:color w:val="auto"/>
              </w:rPr>
            </w:pPr>
          </w:p>
        </w:tc>
        <w:tc>
          <w:tcPr>
            <w:tcW w:w="860" w:type="dxa"/>
            <w:vAlign w:val="bottom"/>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7/15/2025</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3,129</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1,000,060</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7/15/2025</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12,213</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319.61</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1,200,049</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F1F2F2"/>
          </w:tcPr>
          <w:p>
            <w:pPr>
              <w:spacing w:after="0"/>
              <w:rPr>
                <w:sz w:val="22"/>
                <w:szCs w:val="22"/>
                <w:color w:val="auto"/>
              </w:rPr>
            </w:pPr>
          </w:p>
        </w:tc>
        <w:tc>
          <w:tcPr>
            <w:tcW w:w="1520" w:type="dxa"/>
            <w:vAlign w:val="bottom"/>
            <w:shd w:val="clear" w:color="auto" w:fill="F1F2F2"/>
          </w:tcPr>
          <w:p>
            <w:pPr>
              <w:spacing w:after="0"/>
              <w:rPr>
                <w:sz w:val="22"/>
                <w:szCs w:val="22"/>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7/15/2025</w:t>
            </w:r>
            <w:r>
              <w:rPr>
                <w:rFonts w:ascii="Arial" w:cs="Arial" w:eastAsia="Arial" w:hAnsi="Arial"/>
                <w:sz w:val="16"/>
                <w:szCs w:val="16"/>
                <w:color w:val="auto"/>
                <w:w w:val="93"/>
                <w:vertAlign w:val="superscript"/>
              </w:rPr>
              <w:t>(7)</w:t>
            </w:r>
          </w:p>
        </w:tc>
        <w:tc>
          <w:tcPr>
            <w:tcW w:w="100" w:type="dxa"/>
            <w:vAlign w:val="bottom"/>
            <w:shd w:val="clear" w:color="auto" w:fill="F1F2F2"/>
          </w:tcPr>
          <w:p>
            <w:pPr>
              <w:spacing w:after="0"/>
              <w:rPr>
                <w:sz w:val="22"/>
                <w:szCs w:val="22"/>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42,308</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63,462</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319.61</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3,875,413</w:t>
            </w:r>
          </w:p>
        </w:tc>
        <w:tc>
          <w:tcPr>
            <w:tcW w:w="10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520" w:type="dxa"/>
            <w:vAlign w:val="bottom"/>
          </w:tcPr>
          <w:p>
            <w:pPr>
              <w:ind w:left="40"/>
              <w:spacing w:after="0"/>
              <w:rPr>
                <w:sz w:val="20"/>
                <w:szCs w:val="20"/>
                <w:color w:val="auto"/>
              </w:rPr>
            </w:pPr>
            <w:r>
              <w:rPr>
                <w:rFonts w:ascii="Arial" w:cs="Arial" w:eastAsia="Arial" w:hAnsi="Arial"/>
                <w:sz w:val="13"/>
                <w:szCs w:val="13"/>
                <w:b w:val="1"/>
                <w:bCs w:val="1"/>
                <w:color w:val="auto"/>
              </w:rPr>
              <w:t>Tom Panther</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4/22/2025</w:t>
            </w:r>
            <w:r>
              <w:rPr>
                <w:rFonts w:ascii="Arial" w:cs="Arial" w:eastAsia="Arial" w:hAnsi="Arial"/>
                <w:sz w:val="16"/>
                <w:szCs w:val="16"/>
                <w:color w:val="auto"/>
                <w:w w:val="93"/>
                <w:vertAlign w:val="superscript"/>
              </w:rPr>
              <w:t>(4)</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813</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1,017</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250,217</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Alissa B. Vickery</w:t>
            </w: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4/22/2025</w:t>
            </w:r>
            <w:r>
              <w:rPr>
                <w:rFonts w:ascii="Arial" w:cs="Arial" w:eastAsia="Arial" w:hAnsi="Arial"/>
                <w:sz w:val="16"/>
                <w:szCs w:val="16"/>
                <w:color w:val="auto"/>
                <w:w w:val="93"/>
                <w:vertAlign w:val="superscript"/>
              </w:rPr>
              <w:t>(5)</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293</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348</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90,177</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Borders>
              <w:bottom w:val="single" w:sz="8" w:color="F1F2F2"/>
            </w:tcBorders>
            <w:shd w:val="clear" w:color="auto" w:fill="F1F2F2"/>
          </w:tcPr>
          <w:p>
            <w:pPr>
              <w:spacing w:after="0"/>
              <w:rPr>
                <w:sz w:val="18"/>
                <w:szCs w:val="18"/>
                <w:color w:val="auto"/>
              </w:rPr>
            </w:pPr>
          </w:p>
        </w:tc>
        <w:tc>
          <w:tcPr>
            <w:tcW w:w="1520" w:type="dxa"/>
            <w:vAlign w:val="bottom"/>
            <w:tcBorders>
              <w:bottom w:val="single" w:sz="8" w:color="F1F2F2"/>
            </w:tcBorders>
            <w:shd w:val="clear" w:color="auto" w:fill="F1F2F2"/>
          </w:tcPr>
          <w:p>
            <w:pPr>
              <w:spacing w:after="0"/>
              <w:rPr>
                <w:sz w:val="18"/>
                <w:szCs w:val="18"/>
                <w:color w:val="auto"/>
              </w:rPr>
            </w:pPr>
          </w:p>
        </w:tc>
        <w:tc>
          <w:tcPr>
            <w:tcW w:w="90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3/17/2025</w:t>
            </w:r>
          </w:p>
        </w:tc>
        <w:tc>
          <w:tcPr>
            <w:tcW w:w="100" w:type="dxa"/>
            <w:vAlign w:val="bottom"/>
            <w:tcBorders>
              <w:bottom w:val="single" w:sz="8" w:color="F1F2F2"/>
            </w:tcBorders>
            <w:shd w:val="clear" w:color="auto" w:fill="F1F2F2"/>
          </w:tcPr>
          <w:p>
            <w:pPr>
              <w:spacing w:after="0"/>
              <w:rPr>
                <w:sz w:val="18"/>
                <w:szCs w:val="18"/>
                <w:color w:val="auto"/>
              </w:rPr>
            </w:pPr>
          </w:p>
        </w:tc>
        <w:tc>
          <w:tcPr>
            <w:tcW w:w="8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576</w:t>
            </w:r>
          </w:p>
        </w:tc>
        <w:tc>
          <w:tcPr>
            <w:tcW w:w="10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200,051</w:t>
            </w:r>
          </w:p>
        </w:tc>
        <w:tc>
          <w:tcPr>
            <w:tcW w:w="1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(4)</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1,061</w:t>
            </w:r>
          </w:p>
        </w:tc>
        <w:tc>
          <w:tcPr>
            <w:tcW w:w="800" w:type="dxa"/>
            <w:vAlign w:val="bottom"/>
          </w:tcPr>
          <w:p>
            <w:pPr>
              <w:jc w:val="right"/>
              <w:spacing w:after="0"/>
              <w:rPr>
                <w:sz w:val="20"/>
                <w:szCs w:val="20"/>
                <w:color w:val="auto"/>
              </w:rPr>
            </w:pPr>
            <w:r>
              <w:rPr>
                <w:rFonts w:ascii="Arial" w:cs="Arial" w:eastAsia="Arial" w:hAnsi="Arial"/>
                <w:sz w:val="13"/>
                <w:szCs w:val="13"/>
                <w:color w:val="auto"/>
              </w:rPr>
              <w:t>1,327</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400,326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1,458</w:t>
            </w:r>
          </w:p>
        </w:tc>
        <w:tc>
          <w:tcPr>
            <w:tcW w:w="800" w:type="dxa"/>
            <w:vAlign w:val="bottom"/>
          </w:tcPr>
          <w:p>
            <w:pPr>
              <w:jc w:val="right"/>
              <w:spacing w:after="0"/>
              <w:rPr>
                <w:sz w:val="20"/>
                <w:szCs w:val="20"/>
                <w:color w:val="auto"/>
              </w:rPr>
            </w:pPr>
            <w:r>
              <w:rPr>
                <w:rFonts w:ascii="Arial" w:cs="Arial" w:eastAsia="Arial" w:hAnsi="Arial"/>
                <w:sz w:val="13"/>
                <w:szCs w:val="13"/>
                <w:color w:val="auto"/>
              </w:rPr>
              <w:t>2,042</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550,118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Armando L.</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2,227</w:t>
            </w:r>
          </w:p>
        </w:tc>
        <w:tc>
          <w:tcPr>
            <w:tcW w:w="800" w:type="dxa"/>
            <w:vAlign w:val="bottom"/>
          </w:tcPr>
          <w:p>
            <w:pPr>
              <w:jc w:val="right"/>
              <w:spacing w:after="0"/>
              <w:rPr>
                <w:sz w:val="20"/>
                <w:szCs w:val="20"/>
                <w:color w:val="auto"/>
              </w:rPr>
            </w:pPr>
            <w:r>
              <w:rPr>
                <w:rFonts w:ascii="Arial" w:cs="Arial" w:eastAsia="Arial" w:hAnsi="Arial"/>
                <w:sz w:val="13"/>
                <w:szCs w:val="13"/>
                <w:color w:val="auto"/>
              </w:rPr>
              <w:t>3,341</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840,269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(6)</w:t>
            </w:r>
          </w:p>
        </w:tc>
        <w:tc>
          <w:tcPr>
            <w:tcW w:w="10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955</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1,433</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360,331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1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Netto</w:t>
            </w: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2/14/2025</w:t>
            </w:r>
          </w:p>
        </w:tc>
        <w:tc>
          <w:tcPr>
            <w:tcW w:w="100" w:type="dxa"/>
            <w:vAlign w:val="bottom"/>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1,591</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600,300</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10,867</w:t>
            </w: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377.31</w:t>
            </w:r>
          </w:p>
        </w:tc>
        <w:tc>
          <w:tcPr>
            <w:tcW w:w="860" w:type="dxa"/>
            <w:vAlign w:val="bottom"/>
          </w:tcPr>
          <w:p>
            <w:pPr>
              <w:jc w:val="right"/>
              <w:spacing w:after="0"/>
              <w:rPr>
                <w:sz w:val="20"/>
                <w:szCs w:val="20"/>
                <w:color w:val="auto"/>
              </w:rPr>
            </w:pPr>
            <w:r>
              <w:rPr>
                <w:rFonts w:ascii="Arial" w:cs="Arial" w:eastAsia="Arial" w:hAnsi="Arial"/>
                <w:sz w:val="13"/>
                <w:szCs w:val="13"/>
                <w:color w:val="auto"/>
              </w:rPr>
              <w:t>1,200,043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3/17/2025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1,708</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593,205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(4)</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1,061</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1,327</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400,326</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(5)</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1,193</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1,671</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450,131</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(6)</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1,485</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2,228</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560,305</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F1F2F2"/>
          </w:tcPr>
          <w:p>
            <w:pPr>
              <w:spacing w:after="0"/>
              <w:rPr>
                <w:sz w:val="19"/>
                <w:szCs w:val="19"/>
                <w:color w:val="auto"/>
              </w:rPr>
            </w:pPr>
          </w:p>
        </w:tc>
        <w:tc>
          <w:tcPr>
            <w:tcW w:w="1520" w:type="dxa"/>
            <w:vAlign w:val="bottom"/>
            <w:vMerge w:val="restart"/>
            <w:shd w:val="clear" w:color="auto" w:fill="F1F2F2"/>
          </w:tcPr>
          <w:p>
            <w:pPr>
              <w:ind w:left="40"/>
              <w:spacing w:after="0"/>
              <w:rPr>
                <w:sz w:val="20"/>
                <w:szCs w:val="20"/>
                <w:color w:val="auto"/>
              </w:rPr>
            </w:pPr>
            <w:r>
              <w:rPr>
                <w:rFonts w:ascii="Arial" w:cs="Arial" w:eastAsia="Arial" w:hAnsi="Arial"/>
                <w:sz w:val="13"/>
                <w:szCs w:val="13"/>
                <w:b w:val="1"/>
                <w:bCs w:val="1"/>
                <w:color w:val="auto"/>
              </w:rPr>
              <w:t>Alan King</w:t>
            </w: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3"/>
              </w:rPr>
              <w:t>2/14/2025</w:t>
            </w:r>
            <w:r>
              <w:rPr>
                <w:rFonts w:ascii="Arial" w:cs="Arial" w:eastAsia="Arial" w:hAnsi="Arial"/>
                <w:sz w:val="16"/>
                <w:szCs w:val="16"/>
                <w:color w:val="auto"/>
                <w:w w:val="93"/>
                <w:vertAlign w:val="superscript"/>
              </w:rPr>
              <w:t>(6)</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637</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956</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240,346</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00" w:type="dxa"/>
            <w:vAlign w:val="bottom"/>
            <w:shd w:val="clear" w:color="auto" w:fill="F1F2F2"/>
          </w:tcPr>
          <w:p>
            <w:pPr>
              <w:spacing w:after="0"/>
              <w:rPr>
                <w:sz w:val="8"/>
                <w:szCs w:val="8"/>
                <w:color w:val="auto"/>
              </w:rPr>
            </w:pPr>
          </w:p>
        </w:tc>
        <w:tc>
          <w:tcPr>
            <w:tcW w:w="1520" w:type="dxa"/>
            <w:vAlign w:val="bottom"/>
            <w:vMerge w:val="continue"/>
            <w:shd w:val="clear" w:color="auto" w:fill="F1F2F2"/>
          </w:tcPr>
          <w:p>
            <w:pPr>
              <w:spacing w:after="0"/>
              <w:rPr>
                <w:sz w:val="8"/>
                <w:szCs w:val="8"/>
                <w:color w:val="auto"/>
              </w:rPr>
            </w:pPr>
          </w:p>
        </w:tc>
        <w:tc>
          <w:tcPr>
            <w:tcW w:w="90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6"/>
              </w:rPr>
              <w:t>2/14/2025</w:t>
            </w:r>
          </w:p>
        </w:tc>
        <w:tc>
          <w:tcPr>
            <w:tcW w:w="100" w:type="dxa"/>
            <w:vAlign w:val="bottom"/>
            <w:shd w:val="clear" w:color="auto" w:fill="F1F2F2"/>
          </w:tcPr>
          <w:p>
            <w:pPr>
              <w:spacing w:after="0"/>
              <w:rPr>
                <w:sz w:val="8"/>
                <w:szCs w:val="8"/>
                <w:color w:val="auto"/>
              </w:rPr>
            </w:pPr>
          </w:p>
        </w:tc>
        <w:tc>
          <w:tcPr>
            <w:tcW w:w="8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1,061</w:t>
            </w:r>
          </w:p>
        </w:tc>
        <w:tc>
          <w:tcPr>
            <w:tcW w:w="10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400,326</w:t>
            </w: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 w:type="dxa"/>
            <w:vAlign w:val="bottom"/>
            <w:shd w:val="clear" w:color="auto" w:fill="F1F2F2"/>
          </w:tcPr>
          <w:p>
            <w:pPr>
              <w:spacing w:after="0"/>
              <w:rPr>
                <w:sz w:val="8"/>
                <w:szCs w:val="8"/>
                <w:color w:val="auto"/>
              </w:rPr>
            </w:pPr>
          </w:p>
        </w:tc>
        <w:tc>
          <w:tcPr>
            <w:tcW w:w="1520" w:type="dxa"/>
            <w:vAlign w:val="bottom"/>
            <w:shd w:val="clear" w:color="auto" w:fill="F1F2F2"/>
          </w:tcPr>
          <w:p>
            <w:pPr>
              <w:spacing w:after="0"/>
              <w:rPr>
                <w:sz w:val="8"/>
                <w:szCs w:val="8"/>
                <w:color w:val="auto"/>
              </w:rPr>
            </w:pPr>
          </w:p>
        </w:tc>
        <w:tc>
          <w:tcPr>
            <w:tcW w:w="900" w:type="dxa"/>
            <w:vAlign w:val="bottom"/>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800" w:type="dxa"/>
            <w:vAlign w:val="bottom"/>
            <w:vMerge w:val="continue"/>
            <w:shd w:val="clear" w:color="auto" w:fill="F1F2F2"/>
          </w:tcPr>
          <w:p>
            <w:pPr>
              <w:spacing w:after="0"/>
              <w:rPr>
                <w:sz w:val="8"/>
                <w:szCs w:val="8"/>
                <w:color w:val="auto"/>
              </w:rPr>
            </w:pPr>
          </w:p>
        </w:tc>
        <w:tc>
          <w:tcPr>
            <w:tcW w:w="820" w:type="dxa"/>
            <w:vAlign w:val="bottom"/>
            <w:vMerge w:val="continue"/>
            <w:shd w:val="clear" w:color="auto" w:fill="F1F2F2"/>
          </w:tcPr>
          <w:p>
            <w:pPr>
              <w:spacing w:after="0"/>
              <w:rPr>
                <w:sz w:val="8"/>
                <w:szCs w:val="8"/>
                <w:color w:val="auto"/>
              </w:rPr>
            </w:pPr>
          </w:p>
        </w:tc>
        <w:tc>
          <w:tcPr>
            <w:tcW w:w="800" w:type="dxa"/>
            <w:vAlign w:val="bottom"/>
            <w:vMerge w:val="continue"/>
            <w:shd w:val="clear" w:color="auto" w:fill="F1F2F2"/>
          </w:tcPr>
          <w:p>
            <w:pPr>
              <w:spacing w:after="0"/>
              <w:rPr>
                <w:sz w:val="8"/>
                <w:szCs w:val="8"/>
                <w:color w:val="auto"/>
              </w:rPr>
            </w:pPr>
          </w:p>
        </w:tc>
        <w:tc>
          <w:tcPr>
            <w:tcW w:w="980" w:type="dxa"/>
            <w:vAlign w:val="bottom"/>
            <w:vMerge w:val="continue"/>
            <w:shd w:val="clear" w:color="auto" w:fill="F1F2F2"/>
          </w:tcPr>
          <w:p>
            <w:pPr>
              <w:spacing w:after="0"/>
              <w:rPr>
                <w:sz w:val="8"/>
                <w:szCs w:val="8"/>
                <w:color w:val="auto"/>
              </w:rPr>
            </w:pPr>
          </w:p>
        </w:tc>
        <w:tc>
          <w:tcPr>
            <w:tcW w:w="1000" w:type="dxa"/>
            <w:vAlign w:val="bottom"/>
            <w:vMerge w:val="continue"/>
            <w:shd w:val="clear" w:color="auto" w:fill="F1F2F2"/>
          </w:tcPr>
          <w:p>
            <w:pPr>
              <w:spacing w:after="0"/>
              <w:rPr>
                <w:sz w:val="8"/>
                <w:szCs w:val="8"/>
                <w:color w:val="auto"/>
              </w:rPr>
            </w:pPr>
          </w:p>
        </w:tc>
        <w:tc>
          <w:tcPr>
            <w:tcW w:w="1100" w:type="dxa"/>
            <w:vAlign w:val="bottom"/>
            <w:vMerge w:val="continue"/>
            <w:shd w:val="clear" w:color="auto" w:fill="F1F2F2"/>
          </w:tcPr>
          <w:p>
            <w:pPr>
              <w:spacing w:after="0"/>
              <w:rPr>
                <w:sz w:val="8"/>
                <w:szCs w:val="8"/>
                <w:color w:val="auto"/>
              </w:rPr>
            </w:pPr>
          </w:p>
        </w:tc>
        <w:tc>
          <w:tcPr>
            <w:tcW w:w="860" w:type="dxa"/>
            <w:vAlign w:val="bottom"/>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2/14/2025</w:t>
            </w:r>
          </w:p>
        </w:tc>
        <w:tc>
          <w:tcPr>
            <w:tcW w:w="10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7,245</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377.31</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800,065</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F1F2F2"/>
          </w:tcPr>
          <w:p>
            <w:pPr>
              <w:spacing w:after="0"/>
              <w:rPr>
                <w:sz w:val="22"/>
                <w:szCs w:val="22"/>
                <w:color w:val="auto"/>
              </w:rPr>
            </w:pPr>
          </w:p>
        </w:tc>
        <w:tc>
          <w:tcPr>
            <w:tcW w:w="1520" w:type="dxa"/>
            <w:vAlign w:val="bottom"/>
            <w:shd w:val="clear" w:color="auto" w:fill="F1F2F2"/>
          </w:tcPr>
          <w:p>
            <w:pPr>
              <w:spacing w:after="0"/>
              <w:rPr>
                <w:sz w:val="22"/>
                <w:szCs w:val="22"/>
                <w:color w:val="auto"/>
              </w:rPr>
            </w:pPr>
          </w:p>
        </w:tc>
        <w:tc>
          <w:tcPr>
            <w:tcW w:w="90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6/18/2025</w:t>
            </w:r>
          </w:p>
        </w:tc>
        <w:tc>
          <w:tcPr>
            <w:tcW w:w="100" w:type="dxa"/>
            <w:vAlign w:val="bottom"/>
            <w:shd w:val="clear" w:color="auto" w:fill="F1F2F2"/>
          </w:tcPr>
          <w:p>
            <w:pPr>
              <w:spacing w:after="0"/>
              <w:rPr>
                <w:sz w:val="22"/>
                <w:szCs w:val="22"/>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280.97</w:t>
            </w:r>
          </w:p>
        </w:tc>
        <w:tc>
          <w:tcPr>
            <w:tcW w:w="8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1,089,000</w:t>
            </w:r>
            <w:r>
              <w:rPr>
                <w:rFonts w:ascii="Arial" w:cs="Arial" w:eastAsia="Arial" w:hAnsi="Arial"/>
                <w:sz w:val="16"/>
                <w:szCs w:val="16"/>
                <w:color w:val="auto"/>
                <w:vertAlign w:val="superscript"/>
              </w:rPr>
              <w:t>(8)</w:t>
            </w:r>
          </w:p>
        </w:tc>
        <w:tc>
          <w:tcPr>
            <w:tcW w:w="10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0" w:type="dxa"/>
            <w:vAlign w:val="bottom"/>
            <w:tcBorders>
              <w:bottom w:val="single" w:sz="8" w:color="C43776"/>
            </w:tcBorders>
            <w:shd w:val="clear" w:color="auto" w:fill="F1F2F2"/>
          </w:tcPr>
          <w:p>
            <w:pPr>
              <w:spacing w:after="0"/>
              <w:rPr>
                <w:sz w:val="19"/>
                <w:szCs w:val="19"/>
                <w:color w:val="auto"/>
              </w:rPr>
            </w:pPr>
          </w:p>
        </w:tc>
        <w:tc>
          <w:tcPr>
            <w:tcW w:w="1520" w:type="dxa"/>
            <w:vAlign w:val="bottom"/>
            <w:tcBorders>
              <w:bottom w:val="single" w:sz="8" w:color="C43776"/>
            </w:tcBorders>
            <w:shd w:val="clear" w:color="auto" w:fill="F1F2F2"/>
          </w:tcPr>
          <w:p>
            <w:pPr>
              <w:spacing w:after="0"/>
              <w:rPr>
                <w:sz w:val="19"/>
                <w:szCs w:val="19"/>
                <w:color w:val="auto"/>
              </w:rPr>
            </w:pPr>
          </w:p>
        </w:tc>
        <w:tc>
          <w:tcPr>
            <w:tcW w:w="900" w:type="dxa"/>
            <w:vAlign w:val="bottom"/>
            <w:tcBorders>
              <w:bottom w:val="single" w:sz="8" w:color="C43776"/>
            </w:tcBorders>
            <w:shd w:val="clear" w:color="auto" w:fill="F1F2F2"/>
          </w:tcPr>
          <w:p>
            <w:pPr>
              <w:jc w:val="center"/>
              <w:spacing w:after="0"/>
              <w:rPr>
                <w:sz w:val="20"/>
                <w:szCs w:val="20"/>
                <w:color w:val="auto"/>
              </w:rPr>
            </w:pPr>
            <w:r>
              <w:rPr>
                <w:rFonts w:ascii="Arial" w:cs="Arial" w:eastAsia="Arial" w:hAnsi="Arial"/>
                <w:sz w:val="13"/>
                <w:szCs w:val="13"/>
                <w:color w:val="auto"/>
                <w:w w:val="93"/>
              </w:rPr>
              <w:t>7/22/2025</w:t>
            </w:r>
            <w:r>
              <w:rPr>
                <w:rFonts w:ascii="Arial" w:cs="Arial" w:eastAsia="Arial" w:hAnsi="Arial"/>
                <w:sz w:val="16"/>
                <w:szCs w:val="16"/>
                <w:color w:val="auto"/>
                <w:w w:val="93"/>
                <w:vertAlign w:val="superscript"/>
              </w:rPr>
              <w:t>(7)</w:t>
            </w:r>
          </w:p>
        </w:tc>
        <w:tc>
          <w:tcPr>
            <w:tcW w:w="100" w:type="dxa"/>
            <w:vAlign w:val="bottom"/>
            <w:tcBorders>
              <w:bottom w:val="single" w:sz="8" w:color="C43776"/>
            </w:tcBorders>
            <w:shd w:val="clear" w:color="auto" w:fill="F1F2F2"/>
          </w:tcPr>
          <w:p>
            <w:pPr>
              <w:spacing w:after="0"/>
              <w:rPr>
                <w:sz w:val="19"/>
                <w:szCs w:val="19"/>
                <w:color w:val="auto"/>
              </w:rPr>
            </w:pPr>
          </w:p>
        </w:tc>
        <w:tc>
          <w:tcPr>
            <w:tcW w:w="800" w:type="dxa"/>
            <w:vAlign w:val="bottom"/>
            <w:tcBorders>
              <w:bottom w:val="single" w:sz="8" w:color="C43776"/>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43776"/>
            </w:tcBorders>
            <w:shd w:val="clear" w:color="auto" w:fill="F1F2F2"/>
          </w:tcPr>
          <w:p>
            <w:pPr>
              <w:jc w:val="right"/>
              <w:spacing w:after="0"/>
              <w:rPr>
                <w:sz w:val="20"/>
                <w:szCs w:val="20"/>
                <w:color w:val="auto"/>
              </w:rPr>
            </w:pPr>
            <w:r>
              <w:rPr>
                <w:rFonts w:ascii="Arial" w:cs="Arial" w:eastAsia="Arial" w:hAnsi="Arial"/>
                <w:sz w:val="13"/>
                <w:szCs w:val="13"/>
                <w:color w:val="auto"/>
              </w:rPr>
              <w:t>71,989</w:t>
            </w:r>
          </w:p>
        </w:tc>
        <w:tc>
          <w:tcPr>
            <w:tcW w:w="800" w:type="dxa"/>
            <w:vAlign w:val="bottom"/>
            <w:tcBorders>
              <w:bottom w:val="single" w:sz="8" w:color="C43776"/>
            </w:tcBorders>
            <w:shd w:val="clear" w:color="auto" w:fill="F1F2F2"/>
          </w:tcPr>
          <w:p>
            <w:pPr>
              <w:jc w:val="right"/>
              <w:spacing w:after="0"/>
              <w:rPr>
                <w:sz w:val="20"/>
                <w:szCs w:val="20"/>
                <w:color w:val="auto"/>
              </w:rPr>
            </w:pPr>
            <w:r>
              <w:rPr>
                <w:rFonts w:ascii="Arial" w:cs="Arial" w:eastAsia="Arial" w:hAnsi="Arial"/>
                <w:sz w:val="13"/>
                <w:szCs w:val="13"/>
                <w:color w:val="auto"/>
              </w:rPr>
              <w:t>107,984</w:t>
            </w:r>
          </w:p>
        </w:tc>
        <w:tc>
          <w:tcPr>
            <w:tcW w:w="980" w:type="dxa"/>
            <w:vAlign w:val="bottom"/>
            <w:tcBorders>
              <w:bottom w:val="single" w:sz="8" w:color="C43776"/>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43776"/>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43776"/>
            </w:tcBorders>
            <w:shd w:val="clear" w:color="auto" w:fill="F1F2F2"/>
          </w:tcPr>
          <w:p>
            <w:pPr>
              <w:jc w:val="right"/>
              <w:ind w:right="117"/>
              <w:spacing w:after="0"/>
              <w:rPr>
                <w:sz w:val="20"/>
                <w:szCs w:val="20"/>
                <w:color w:val="auto"/>
              </w:rPr>
            </w:pPr>
            <w:r>
              <w:rPr>
                <w:rFonts w:ascii="Arial" w:cs="Arial" w:eastAsia="Arial" w:hAnsi="Arial"/>
                <w:sz w:val="13"/>
                <w:szCs w:val="13"/>
                <w:color w:val="auto"/>
              </w:rPr>
              <w:t>334.29</w:t>
            </w:r>
          </w:p>
        </w:tc>
        <w:tc>
          <w:tcPr>
            <w:tcW w:w="860" w:type="dxa"/>
            <w:vAlign w:val="bottom"/>
            <w:tcBorders>
              <w:bottom w:val="single" w:sz="8" w:color="C43776"/>
            </w:tcBorders>
            <w:shd w:val="clear" w:color="auto" w:fill="F1F2F2"/>
          </w:tcPr>
          <w:p>
            <w:pPr>
              <w:jc w:val="right"/>
              <w:spacing w:after="0"/>
              <w:rPr>
                <w:sz w:val="20"/>
                <w:szCs w:val="20"/>
                <w:color w:val="auto"/>
              </w:rPr>
            </w:pPr>
            <w:r>
              <w:rPr>
                <w:rFonts w:ascii="Arial" w:cs="Arial" w:eastAsia="Arial" w:hAnsi="Arial"/>
                <w:sz w:val="13"/>
                <w:szCs w:val="13"/>
                <w:color w:val="auto"/>
              </w:rPr>
              <w:t>5,600,024</w:t>
            </w:r>
          </w:p>
        </w:tc>
        <w:tc>
          <w:tcPr>
            <w:tcW w:w="100" w:type="dxa"/>
            <w:vAlign w:val="bottom"/>
            <w:tcBorders>
              <w:bottom w:val="single" w:sz="8" w:color="C43776"/>
            </w:tcBorders>
            <w:shd w:val="clear" w:color="auto" w:fill="F1F2F2"/>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right="40" w:hanging="332"/>
        <w:spacing w:after="0"/>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number of shares of Time-Based Equity granted in 2025. For information concerning these grants and the vesting terms, see “Compensation Discussion and Analysis—Key Elements of 2025 Named Executive Officer Compensation—Equity Incentives.”</w:t>
      </w:r>
    </w:p>
    <w:p>
      <w:pPr>
        <w:spacing w:after="0" w:line="25" w:lineRule="exact"/>
        <w:rPr>
          <w:rFonts w:ascii="Arial" w:cs="Arial" w:eastAsia="Arial" w:hAnsi="Arial"/>
          <w:sz w:val="13"/>
          <w:szCs w:val="13"/>
          <w:i w:val="1"/>
          <w:iCs w:val="1"/>
          <w:color w:val="auto"/>
        </w:rPr>
      </w:pPr>
    </w:p>
    <w:p>
      <w:pPr>
        <w:ind w:left="340" w:right="220" w:hanging="332"/>
        <w:spacing w:after="0" w:line="261" w:lineRule="auto"/>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number of Stock Options granted in 2025. For information concerning these grants and the vesting terms, see “Compensation Discussion and Analysis—Key Elements of 2025 Named Executive Officer Compensation—Equity Incentives.”</w:t>
      </w:r>
    </w:p>
    <w:p>
      <w:pPr>
        <w:spacing w:after="0" w:line="12" w:lineRule="exact"/>
        <w:rPr>
          <w:rFonts w:ascii="Arial" w:cs="Arial" w:eastAsia="Arial" w:hAnsi="Arial"/>
          <w:sz w:val="13"/>
          <w:szCs w:val="13"/>
          <w:i w:val="1"/>
          <w:iCs w:val="1"/>
          <w:color w:val="auto"/>
        </w:rPr>
      </w:pPr>
    </w:p>
    <w:p>
      <w:pPr>
        <w:ind w:left="340" w:right="60" w:hanging="332"/>
        <w:spacing w:after="0" w:line="233" w:lineRule="auto"/>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grant date fair value of Performance-Based Equity, Time-Based Equity, and Stock Option awards granted to each of the NEOs in 2025 computed in accordance with FASB ASC Topic 718, and, as described in footnote 8 below, the incremental fair value of Mr. King’s Modified Options. Awards with performance conditions are computed based on the probable outcome of the performance condition as of the grant date for the award. There can be no assurance that the grant date fair value of stock and option awards will ever be realized by the NEOs.</w:t>
      </w:r>
    </w:p>
    <w:p>
      <w:pPr>
        <w:spacing w:after="0" w:line="26" w:lineRule="exact"/>
        <w:rPr>
          <w:rFonts w:ascii="Arial" w:cs="Arial" w:eastAsia="Arial" w:hAnsi="Arial"/>
          <w:sz w:val="13"/>
          <w:szCs w:val="13"/>
          <w:i w:val="1"/>
          <w:iCs w:val="1"/>
          <w:color w:val="auto"/>
        </w:rPr>
      </w:pPr>
    </w:p>
    <w:p>
      <w:pPr>
        <w:ind w:left="340" w:right="280" w:hanging="332"/>
        <w:spacing w:after="0"/>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Company Annual Equity Incentive awards granted in 2025. For information concerning these grants, see “Compensation Discussion and Analysis—Key Elements of 2025 Named Executive Officer Compensation—Performance-Based Equity.”</w:t>
      </w:r>
    </w:p>
    <w:p>
      <w:pPr>
        <w:spacing w:after="0" w:line="38" w:lineRule="exact"/>
        <w:rPr>
          <w:rFonts w:ascii="Arial" w:cs="Arial" w:eastAsia="Arial" w:hAnsi="Arial"/>
          <w:sz w:val="13"/>
          <w:szCs w:val="13"/>
          <w:i w:val="1"/>
          <w:iCs w:val="1"/>
          <w:color w:val="auto"/>
        </w:rPr>
      </w:pPr>
    </w:p>
    <w:p>
      <w:pPr>
        <w:ind w:left="340" w:right="460" w:hanging="332"/>
        <w:spacing w:after="0"/>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Annual Bonus Equity Incentive awards granted in 2025. For information concerning these grants, see “Compensation Discussion and Analysis—Key Elements of 2025 Named Executive Officer Compensation—Performance-Based Equity.”</w:t>
      </w:r>
    </w:p>
    <w:p>
      <w:pPr>
        <w:spacing w:after="0" w:line="25" w:lineRule="exact"/>
        <w:rPr>
          <w:rFonts w:ascii="Arial" w:cs="Arial" w:eastAsia="Arial" w:hAnsi="Arial"/>
          <w:sz w:val="13"/>
          <w:szCs w:val="13"/>
          <w:i w:val="1"/>
          <w:iCs w:val="1"/>
          <w:color w:val="auto"/>
        </w:rPr>
      </w:pPr>
    </w:p>
    <w:p>
      <w:pPr>
        <w:ind w:left="340" w:right="120" w:hanging="332"/>
        <w:spacing w:after="0"/>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Long-Term Equity Incentive awards granted in 2025. For information concerning these grants, see “Compensation Discussion and Analysis —Key Elements of 2025 Named Executive Officer Compensation—Performance-Based Equity.”</w:t>
      </w:r>
    </w:p>
    <w:p>
      <w:pPr>
        <w:spacing w:after="0" w:line="38" w:lineRule="exact"/>
        <w:rPr>
          <w:rFonts w:ascii="Arial" w:cs="Arial" w:eastAsia="Arial" w:hAnsi="Arial"/>
          <w:sz w:val="13"/>
          <w:szCs w:val="13"/>
          <w:i w:val="1"/>
          <w:iCs w:val="1"/>
          <w:color w:val="auto"/>
        </w:rPr>
      </w:pPr>
    </w:p>
    <w:p>
      <w:pPr>
        <w:ind w:left="340" w:right="60" w:hanging="332"/>
        <w:spacing w:after="0"/>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performance-based Stock Options granted in 2025. For information concerning these grants, see “Compensation Discussion and Analysis—Key Elements of 2025 Named Executive Officer Compensation—Equity Incentives.”</w:t>
      </w:r>
    </w:p>
    <w:p>
      <w:pPr>
        <w:spacing w:after="0" w:line="25" w:lineRule="exact"/>
        <w:rPr>
          <w:rFonts w:ascii="Arial" w:cs="Arial" w:eastAsia="Arial" w:hAnsi="Arial"/>
          <w:sz w:val="13"/>
          <w:szCs w:val="13"/>
          <w:i w:val="1"/>
          <w:iCs w:val="1"/>
          <w:color w:val="auto"/>
        </w:rPr>
      </w:pPr>
    </w:p>
    <w:p>
      <w:pPr>
        <w:ind w:left="340" w:hanging="332"/>
        <w:spacing w:after="0"/>
        <w:tabs>
          <w:tab w:leader="none" w:pos="34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incremental fair value associated with Mr. King’s Modified Options. It does not represent a “new” equity award grant in 2025.</w:t>
      </w:r>
    </w:p>
    <w:p>
      <w:pPr>
        <w:spacing w:after="0" w:line="200" w:lineRule="exact"/>
        <w:rPr>
          <w:sz w:val="20"/>
          <w:szCs w:val="20"/>
          <w:color w:val="auto"/>
        </w:rPr>
      </w:pPr>
    </w:p>
    <w:p>
      <w:pPr>
        <w:spacing w:after="0" w:line="319"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47</w:t>
      </w:r>
    </w:p>
    <w:p>
      <w:pPr>
        <w:sectPr>
          <w:pgSz w:w="11900" w:h="16838" w:orient="portrait"/>
          <w:cols w:equalWidth="0" w:num="1">
            <w:col w:w="9080"/>
          </w:cols>
          <w:pgMar w:left="1400" w:top="729" w:right="1419" w:bottom="1440" w:gutter="0" w:footer="0" w:header="0"/>
        </w:sectPr>
      </w:pPr>
    </w:p>
    <w:bookmarkStart w:id="53" w:name="page54"/>
    <w:bookmarkEnd w:id="53"/>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06. 2025 NAMED EXECUTIVE OFFICER COMPENSATION</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For information regarding the amount of salary and bonus in proportion to total compensation of our NEOs, see “Compensation Discussion and Analysis—Components of Compensation and Target Direct Compensation Mix” above. For information regarding the employment agreements and offer letters with our NEOs, see “Potential Payments Upon Termination or Change in Control” below.</w:t>
      </w: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color w:val="C43776"/>
        </w:rPr>
        <w:t>Outstanding Equity Awards at 2025 Fiscal Year-End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illustrates the number of stock options and stock awards held by the NEOs on December 31, 2025:</w:t>
      </w:r>
    </w:p>
    <w:p>
      <w:pPr>
        <w:sectPr>
          <w:pgSz w:w="11900" w:h="16838" w:orient="portrait"/>
          <w:cols w:equalWidth="0" w:num="1">
            <w:col w:w="9060"/>
          </w:cols>
          <w:pgMar w:left="1400" w:top="77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FFFFFF"/>
        </w:rPr>
        <w:t>Name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Ronald F.</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Clarke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Peter</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right="80"/>
        <w:spacing w:after="0" w:line="317" w:lineRule="auto"/>
        <w:rPr>
          <w:sz w:val="20"/>
          <w:szCs w:val="20"/>
          <w:color w:val="auto"/>
        </w:rPr>
      </w:pPr>
      <w:r>
        <w:rPr>
          <w:rFonts w:ascii="Arial" w:cs="Arial" w:eastAsia="Arial" w:hAnsi="Arial"/>
          <w:sz w:val="12"/>
          <w:szCs w:val="12"/>
          <w:b w:val="1"/>
          <w:bCs w:val="1"/>
          <w:color w:val="auto"/>
        </w:rPr>
        <w:t>Tom Panther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Alissa B.</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Vickery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gridSpan w:val="2"/>
          </w:tcPr>
          <w:p>
            <w:pPr>
              <w:jc w:val="right"/>
              <w:ind w:right="99"/>
              <w:spacing w:after="0"/>
              <w:rPr>
                <w:sz w:val="20"/>
                <w:szCs w:val="20"/>
                <w:color w:val="auto"/>
              </w:rPr>
            </w:pPr>
            <w:r>
              <w:rPr>
                <w:rFonts w:ascii="Arial" w:cs="Arial" w:eastAsia="Arial" w:hAnsi="Arial"/>
                <w:sz w:val="12"/>
                <w:szCs w:val="12"/>
                <w:b w:val="1"/>
                <w:bCs w:val="1"/>
                <w:color w:val="FFFFFF"/>
              </w:rPr>
              <w:t>OPTION AWARDS</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2"/>
                <w:szCs w:val="12"/>
                <w:b w:val="1"/>
                <w:bCs w:val="1"/>
                <w:color w:val="FFFFFF"/>
              </w:rPr>
              <w:t>STOCK AWARDS</w:t>
            </w:r>
          </w:p>
        </w:tc>
        <w:tc>
          <w:tcPr>
            <w:tcW w:w="1060" w:type="dxa"/>
            <w:vAlign w:val="bottom"/>
          </w:tcPr>
          <w:p>
            <w:pPr>
              <w:spacing w:after="0"/>
              <w:rPr>
                <w:sz w:val="13"/>
                <w:szCs w:val="13"/>
                <w:color w:val="auto"/>
              </w:rPr>
            </w:pPr>
          </w:p>
        </w:tc>
      </w:tr>
      <w:tr>
        <w:trPr>
          <w:trHeight w:val="287"/>
        </w:trPr>
        <w:tc>
          <w:tcPr>
            <w:tcW w:w="740" w:type="dxa"/>
            <w:vAlign w:val="bottom"/>
            <w:shd w:val="clear" w:color="auto" w:fill="C43776"/>
          </w:tcPr>
          <w:p>
            <w:pPr>
              <w:spacing w:after="0"/>
              <w:rPr>
                <w:sz w:val="24"/>
                <w:szCs w:val="24"/>
                <w:color w:val="auto"/>
              </w:rPr>
            </w:pPr>
          </w:p>
        </w:tc>
        <w:tc>
          <w:tcPr>
            <w:tcW w:w="840" w:type="dxa"/>
            <w:vAlign w:val="bottom"/>
            <w:shd w:val="clear" w:color="auto" w:fill="C43776"/>
          </w:tcPr>
          <w:p>
            <w:pPr>
              <w:spacing w:after="0"/>
              <w:rPr>
                <w:sz w:val="24"/>
                <w:szCs w:val="24"/>
                <w:color w:val="auto"/>
              </w:rPr>
            </w:pPr>
          </w:p>
        </w:tc>
        <w:tc>
          <w:tcPr>
            <w:tcW w:w="1000" w:type="dxa"/>
            <w:vAlign w:val="bottom"/>
            <w:shd w:val="clear" w:color="auto" w:fill="C43776"/>
          </w:tcPr>
          <w:p>
            <w:pPr>
              <w:spacing w:after="0"/>
              <w:rPr>
                <w:sz w:val="24"/>
                <w:szCs w:val="24"/>
                <w:color w:val="auto"/>
              </w:rPr>
            </w:pP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Equity</w:t>
            </w:r>
          </w:p>
        </w:tc>
        <w:tc>
          <w:tcPr>
            <w:tcW w:w="580" w:type="dxa"/>
            <w:vAlign w:val="bottom"/>
            <w:shd w:val="clear" w:color="auto" w:fill="C43776"/>
          </w:tcPr>
          <w:p>
            <w:pPr>
              <w:spacing w:after="0"/>
              <w:rPr>
                <w:sz w:val="24"/>
                <w:szCs w:val="24"/>
                <w:color w:val="auto"/>
              </w:rPr>
            </w:pPr>
          </w:p>
        </w:tc>
        <w:tc>
          <w:tcPr>
            <w:tcW w:w="740" w:type="dxa"/>
            <w:vAlign w:val="bottom"/>
            <w:shd w:val="clear" w:color="auto" w:fill="C43776"/>
          </w:tcPr>
          <w:p>
            <w:pPr>
              <w:spacing w:after="0"/>
              <w:rPr>
                <w:sz w:val="24"/>
                <w:szCs w:val="24"/>
                <w:color w:val="auto"/>
              </w:rPr>
            </w:pPr>
          </w:p>
        </w:tc>
        <w:tc>
          <w:tcPr>
            <w:tcW w:w="800" w:type="dxa"/>
            <w:vAlign w:val="bottom"/>
            <w:shd w:val="clear" w:color="auto" w:fill="C43776"/>
          </w:tcPr>
          <w:p>
            <w:pPr>
              <w:spacing w:after="0"/>
              <w:rPr>
                <w:sz w:val="24"/>
                <w:szCs w:val="24"/>
                <w:color w:val="auto"/>
              </w:rPr>
            </w:pPr>
          </w:p>
        </w:tc>
        <w:tc>
          <w:tcPr>
            <w:tcW w:w="740" w:type="dxa"/>
            <w:vAlign w:val="bottom"/>
            <w:shd w:val="clear" w:color="auto" w:fill="C43776"/>
          </w:tcPr>
          <w:p>
            <w:pPr>
              <w:spacing w:after="0"/>
              <w:rPr>
                <w:sz w:val="24"/>
                <w:szCs w:val="24"/>
                <w:color w:val="auto"/>
              </w:rPr>
            </w:pPr>
          </w:p>
        </w:tc>
        <w:tc>
          <w:tcPr>
            <w:tcW w:w="9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Equity</w:t>
            </w:r>
          </w:p>
        </w:tc>
        <w:tc>
          <w:tcPr>
            <w:tcW w:w="1060" w:type="dxa"/>
            <w:vAlign w:val="bottom"/>
            <w:shd w:val="clear" w:color="auto" w:fill="C43776"/>
          </w:tcPr>
          <w:p>
            <w:pPr>
              <w:jc w:val="right"/>
              <w:ind w:right="79"/>
              <w:spacing w:after="0"/>
              <w:rPr>
                <w:sz w:val="20"/>
                <w:szCs w:val="20"/>
                <w:color w:val="auto"/>
              </w:rPr>
            </w:pPr>
            <w:r>
              <w:rPr>
                <w:rFonts w:ascii="Arial" w:cs="Arial" w:eastAsia="Arial" w:hAnsi="Arial"/>
                <w:sz w:val="12"/>
                <w:szCs w:val="12"/>
                <w:b w:val="1"/>
                <w:bCs w:val="1"/>
                <w:color w:val="FFFFFF"/>
              </w:rPr>
              <w:t>Equity</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spacing w:after="0"/>
              <w:rPr>
                <w:sz w:val="11"/>
                <w:szCs w:val="11"/>
                <w:color w:val="auto"/>
              </w:rPr>
            </w:pPr>
          </w:p>
        </w:tc>
        <w:tc>
          <w:tcPr>
            <w:tcW w:w="1000" w:type="dxa"/>
            <w:vAlign w:val="bottom"/>
            <w:shd w:val="clear" w:color="auto" w:fill="C43776"/>
          </w:tcPr>
          <w:p>
            <w:pPr>
              <w:spacing w:after="0"/>
              <w:rPr>
                <w:sz w:val="11"/>
                <w:szCs w:val="11"/>
                <w:color w:val="auto"/>
              </w:rPr>
            </w:pP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Incentive</w:t>
            </w:r>
          </w:p>
        </w:tc>
        <w:tc>
          <w:tcPr>
            <w:tcW w:w="58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80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9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Incentive</w:t>
            </w:r>
          </w:p>
        </w:tc>
        <w:tc>
          <w:tcPr>
            <w:tcW w:w="1060" w:type="dxa"/>
            <w:vAlign w:val="bottom"/>
            <w:shd w:val="clear" w:color="auto" w:fill="C43776"/>
          </w:tcPr>
          <w:p>
            <w:pPr>
              <w:jc w:val="right"/>
              <w:ind w:right="79"/>
              <w:spacing w:after="0" w:line="135" w:lineRule="exact"/>
              <w:rPr>
                <w:sz w:val="20"/>
                <w:szCs w:val="20"/>
                <w:color w:val="auto"/>
              </w:rPr>
            </w:pPr>
            <w:r>
              <w:rPr>
                <w:rFonts w:ascii="Arial" w:cs="Arial" w:eastAsia="Arial" w:hAnsi="Arial"/>
                <w:sz w:val="12"/>
                <w:szCs w:val="12"/>
                <w:b w:val="1"/>
                <w:bCs w:val="1"/>
                <w:color w:val="FFFFFF"/>
              </w:rPr>
              <w:t>Incentive</w:t>
            </w:r>
          </w:p>
        </w:tc>
      </w:tr>
      <w:tr>
        <w:trPr>
          <w:trHeight w:val="148"/>
        </w:trPr>
        <w:tc>
          <w:tcPr>
            <w:tcW w:w="740" w:type="dxa"/>
            <w:vAlign w:val="bottom"/>
            <w:shd w:val="clear" w:color="auto" w:fill="C43776"/>
          </w:tcPr>
          <w:p>
            <w:pPr>
              <w:spacing w:after="0"/>
              <w:rPr>
                <w:sz w:val="12"/>
                <w:szCs w:val="12"/>
                <w:color w:val="auto"/>
              </w:rPr>
            </w:pPr>
          </w:p>
        </w:tc>
        <w:tc>
          <w:tcPr>
            <w:tcW w:w="840" w:type="dxa"/>
            <w:vAlign w:val="bottom"/>
            <w:shd w:val="clear" w:color="auto" w:fill="C43776"/>
          </w:tcPr>
          <w:p>
            <w:pPr>
              <w:spacing w:after="0"/>
              <w:rPr>
                <w:sz w:val="12"/>
                <w:szCs w:val="12"/>
                <w:color w:val="auto"/>
              </w:rPr>
            </w:pPr>
          </w:p>
        </w:tc>
        <w:tc>
          <w:tcPr>
            <w:tcW w:w="1000" w:type="dxa"/>
            <w:vAlign w:val="bottom"/>
            <w:shd w:val="clear" w:color="auto" w:fill="C43776"/>
          </w:tcPr>
          <w:p>
            <w:pPr>
              <w:spacing w:after="0"/>
              <w:rPr>
                <w:sz w:val="12"/>
                <w:szCs w:val="12"/>
                <w:color w:val="auto"/>
              </w:rPr>
            </w:pP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Plan</w:t>
            </w:r>
          </w:p>
        </w:tc>
        <w:tc>
          <w:tcPr>
            <w:tcW w:w="580" w:type="dxa"/>
            <w:vAlign w:val="bottom"/>
            <w:shd w:val="clear" w:color="auto" w:fill="C43776"/>
          </w:tcPr>
          <w:p>
            <w:pPr>
              <w:spacing w:after="0"/>
              <w:rPr>
                <w:sz w:val="12"/>
                <w:szCs w:val="12"/>
                <w:color w:val="auto"/>
              </w:rPr>
            </w:pPr>
          </w:p>
        </w:tc>
        <w:tc>
          <w:tcPr>
            <w:tcW w:w="740" w:type="dxa"/>
            <w:vAlign w:val="bottom"/>
            <w:shd w:val="clear" w:color="auto" w:fill="C43776"/>
          </w:tcPr>
          <w:p>
            <w:pPr>
              <w:spacing w:after="0"/>
              <w:rPr>
                <w:sz w:val="12"/>
                <w:szCs w:val="12"/>
                <w:color w:val="auto"/>
              </w:rPr>
            </w:pPr>
          </w:p>
        </w:tc>
        <w:tc>
          <w:tcPr>
            <w:tcW w:w="800" w:type="dxa"/>
            <w:vAlign w:val="bottom"/>
            <w:shd w:val="clear" w:color="auto" w:fill="C43776"/>
          </w:tcPr>
          <w:p>
            <w:pPr>
              <w:spacing w:after="0"/>
              <w:rPr>
                <w:sz w:val="12"/>
                <w:szCs w:val="12"/>
                <w:color w:val="auto"/>
              </w:rPr>
            </w:pPr>
          </w:p>
        </w:tc>
        <w:tc>
          <w:tcPr>
            <w:tcW w:w="740" w:type="dxa"/>
            <w:vAlign w:val="bottom"/>
            <w:shd w:val="clear" w:color="auto" w:fill="C43776"/>
          </w:tcPr>
          <w:p>
            <w:pPr>
              <w:spacing w:after="0"/>
              <w:rPr>
                <w:sz w:val="12"/>
                <w:szCs w:val="12"/>
                <w:color w:val="auto"/>
              </w:rPr>
            </w:pPr>
          </w:p>
        </w:tc>
        <w:tc>
          <w:tcPr>
            <w:tcW w:w="9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Plan Awards:</w:t>
            </w:r>
          </w:p>
        </w:tc>
        <w:tc>
          <w:tcPr>
            <w:tcW w:w="1060" w:type="dxa"/>
            <w:vAlign w:val="bottom"/>
            <w:shd w:val="clear" w:color="auto" w:fill="C43776"/>
          </w:tcPr>
          <w:p>
            <w:pPr>
              <w:jc w:val="right"/>
              <w:ind w:right="79"/>
              <w:spacing w:after="0"/>
              <w:rPr>
                <w:sz w:val="20"/>
                <w:szCs w:val="20"/>
                <w:color w:val="auto"/>
              </w:rPr>
            </w:pPr>
            <w:r>
              <w:rPr>
                <w:rFonts w:ascii="Arial" w:cs="Arial" w:eastAsia="Arial" w:hAnsi="Arial"/>
                <w:sz w:val="12"/>
                <w:szCs w:val="12"/>
                <w:b w:val="1"/>
                <w:bCs w:val="1"/>
                <w:color w:val="FFFFFF"/>
              </w:rPr>
              <w:t>Plan Awards:</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spacing w:after="0"/>
              <w:rPr>
                <w:sz w:val="11"/>
                <w:szCs w:val="11"/>
                <w:color w:val="auto"/>
              </w:rPr>
            </w:pPr>
          </w:p>
        </w:tc>
        <w:tc>
          <w:tcPr>
            <w:tcW w:w="1000" w:type="dxa"/>
            <w:vAlign w:val="bottom"/>
            <w:shd w:val="clear" w:color="auto" w:fill="C43776"/>
          </w:tcPr>
          <w:p>
            <w:pPr>
              <w:spacing w:after="0"/>
              <w:rPr>
                <w:sz w:val="11"/>
                <w:szCs w:val="11"/>
                <w:color w:val="auto"/>
              </w:rPr>
            </w:pP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Awards:</w:t>
            </w:r>
          </w:p>
        </w:tc>
        <w:tc>
          <w:tcPr>
            <w:tcW w:w="58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800" w:type="dxa"/>
            <w:vAlign w:val="bottom"/>
            <w:shd w:val="clear" w:color="auto" w:fill="C43776"/>
          </w:tcPr>
          <w:p>
            <w:pPr>
              <w:jc w:val="right"/>
              <w:ind w:right="40"/>
              <w:spacing w:after="0" w:line="135" w:lineRule="exact"/>
              <w:rPr>
                <w:sz w:val="20"/>
                <w:szCs w:val="20"/>
                <w:color w:val="auto"/>
              </w:rPr>
            </w:pPr>
            <w:r>
              <w:rPr>
                <w:rFonts w:ascii="Arial" w:cs="Arial" w:eastAsia="Arial" w:hAnsi="Arial"/>
                <w:sz w:val="12"/>
                <w:szCs w:val="12"/>
                <w:b w:val="1"/>
                <w:bCs w:val="1"/>
                <w:color w:val="FFFFFF"/>
              </w:rPr>
              <w:t>Number</w:t>
            </w:r>
          </w:p>
        </w:tc>
        <w:tc>
          <w:tcPr>
            <w:tcW w:w="740" w:type="dxa"/>
            <w:vAlign w:val="bottom"/>
            <w:shd w:val="clear" w:color="auto" w:fill="C43776"/>
          </w:tcPr>
          <w:p>
            <w:pPr>
              <w:jc w:val="right"/>
              <w:ind w:right="38"/>
              <w:spacing w:after="0" w:line="135" w:lineRule="exact"/>
              <w:rPr>
                <w:sz w:val="20"/>
                <w:szCs w:val="20"/>
                <w:color w:val="auto"/>
              </w:rPr>
            </w:pPr>
            <w:r>
              <w:rPr>
                <w:rFonts w:ascii="Arial" w:cs="Arial" w:eastAsia="Arial" w:hAnsi="Arial"/>
                <w:sz w:val="12"/>
                <w:szCs w:val="12"/>
                <w:b w:val="1"/>
                <w:bCs w:val="1"/>
                <w:color w:val="FFFFFF"/>
              </w:rPr>
              <w:t>Market</w:t>
            </w:r>
          </w:p>
        </w:tc>
        <w:tc>
          <w:tcPr>
            <w:tcW w:w="9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1060" w:type="dxa"/>
            <w:vAlign w:val="bottom"/>
            <w:shd w:val="clear" w:color="auto" w:fill="C43776"/>
          </w:tcPr>
          <w:p>
            <w:pPr>
              <w:jc w:val="right"/>
              <w:ind w:right="79"/>
              <w:spacing w:after="0" w:line="135" w:lineRule="exact"/>
              <w:rPr>
                <w:sz w:val="20"/>
                <w:szCs w:val="20"/>
                <w:color w:val="auto"/>
              </w:rPr>
            </w:pPr>
            <w:r>
              <w:rPr>
                <w:rFonts w:ascii="Arial" w:cs="Arial" w:eastAsia="Arial" w:hAnsi="Arial"/>
                <w:sz w:val="12"/>
                <w:szCs w:val="12"/>
                <w:b w:val="1"/>
                <w:bCs w:val="1"/>
                <w:color w:val="FFFFFF"/>
              </w:rPr>
              <w:t>Market or</w:t>
            </w:r>
          </w:p>
        </w:tc>
      </w:tr>
      <w:tr>
        <w:trPr>
          <w:trHeight w:val="148"/>
        </w:trPr>
        <w:tc>
          <w:tcPr>
            <w:tcW w:w="740" w:type="dxa"/>
            <w:vAlign w:val="bottom"/>
            <w:shd w:val="clear" w:color="auto" w:fill="C43776"/>
          </w:tcPr>
          <w:p>
            <w:pPr>
              <w:spacing w:after="0"/>
              <w:rPr>
                <w:sz w:val="12"/>
                <w:szCs w:val="12"/>
                <w:color w:val="auto"/>
              </w:rPr>
            </w:pPr>
          </w:p>
        </w:tc>
        <w:tc>
          <w:tcPr>
            <w:tcW w:w="8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Number of</w:t>
            </w:r>
          </w:p>
        </w:tc>
        <w:tc>
          <w:tcPr>
            <w:tcW w:w="10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Number of</w:t>
            </w: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Number of</w:t>
            </w:r>
          </w:p>
        </w:tc>
        <w:tc>
          <w:tcPr>
            <w:tcW w:w="580" w:type="dxa"/>
            <w:vAlign w:val="bottom"/>
            <w:shd w:val="clear" w:color="auto" w:fill="C43776"/>
          </w:tcPr>
          <w:p>
            <w:pPr>
              <w:spacing w:after="0"/>
              <w:rPr>
                <w:sz w:val="12"/>
                <w:szCs w:val="12"/>
                <w:color w:val="auto"/>
              </w:rPr>
            </w:pPr>
          </w:p>
        </w:tc>
        <w:tc>
          <w:tcPr>
            <w:tcW w:w="740" w:type="dxa"/>
            <w:vAlign w:val="bottom"/>
            <w:shd w:val="clear" w:color="auto" w:fill="C43776"/>
          </w:tcPr>
          <w:p>
            <w:pPr>
              <w:spacing w:after="0"/>
              <w:rPr>
                <w:sz w:val="12"/>
                <w:szCs w:val="12"/>
                <w:color w:val="auto"/>
              </w:rPr>
            </w:pPr>
          </w:p>
        </w:tc>
        <w:tc>
          <w:tcPr>
            <w:tcW w:w="800" w:type="dxa"/>
            <w:vAlign w:val="bottom"/>
            <w:shd w:val="clear" w:color="auto" w:fill="C43776"/>
          </w:tcPr>
          <w:p>
            <w:pPr>
              <w:jc w:val="right"/>
              <w:ind w:right="40"/>
              <w:spacing w:after="0"/>
              <w:rPr>
                <w:sz w:val="20"/>
                <w:szCs w:val="20"/>
                <w:color w:val="auto"/>
              </w:rPr>
            </w:pPr>
            <w:r>
              <w:rPr>
                <w:rFonts w:ascii="Arial" w:cs="Arial" w:eastAsia="Arial" w:hAnsi="Arial"/>
                <w:sz w:val="12"/>
                <w:szCs w:val="12"/>
                <w:b w:val="1"/>
                <w:bCs w:val="1"/>
                <w:color w:val="FFFFFF"/>
              </w:rPr>
              <w:t>of Shares</w:t>
            </w:r>
          </w:p>
        </w:tc>
        <w:tc>
          <w:tcPr>
            <w:tcW w:w="740" w:type="dxa"/>
            <w:vAlign w:val="bottom"/>
            <w:shd w:val="clear" w:color="auto" w:fill="C43776"/>
          </w:tcPr>
          <w:p>
            <w:pPr>
              <w:jc w:val="right"/>
              <w:ind w:right="38"/>
              <w:spacing w:after="0"/>
              <w:rPr>
                <w:sz w:val="20"/>
                <w:szCs w:val="20"/>
                <w:color w:val="auto"/>
              </w:rPr>
            </w:pPr>
            <w:r>
              <w:rPr>
                <w:rFonts w:ascii="Arial" w:cs="Arial" w:eastAsia="Arial" w:hAnsi="Arial"/>
                <w:sz w:val="12"/>
                <w:szCs w:val="12"/>
                <w:b w:val="1"/>
                <w:bCs w:val="1"/>
                <w:color w:val="FFFFFF"/>
              </w:rPr>
              <w:t>Value of</w:t>
            </w:r>
          </w:p>
        </w:tc>
        <w:tc>
          <w:tcPr>
            <w:tcW w:w="9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Unearned</w:t>
            </w:r>
          </w:p>
        </w:tc>
        <w:tc>
          <w:tcPr>
            <w:tcW w:w="1060" w:type="dxa"/>
            <w:vAlign w:val="bottom"/>
            <w:shd w:val="clear" w:color="auto" w:fill="C43776"/>
          </w:tcPr>
          <w:p>
            <w:pPr>
              <w:jc w:val="right"/>
              <w:ind w:right="79"/>
              <w:spacing w:after="0"/>
              <w:rPr>
                <w:sz w:val="20"/>
                <w:szCs w:val="20"/>
                <w:color w:val="auto"/>
              </w:rPr>
            </w:pPr>
            <w:r>
              <w:rPr>
                <w:rFonts w:ascii="Arial" w:cs="Arial" w:eastAsia="Arial" w:hAnsi="Arial"/>
                <w:sz w:val="12"/>
                <w:szCs w:val="12"/>
                <w:b w:val="1"/>
                <w:bCs w:val="1"/>
                <w:color w:val="FFFFFF"/>
              </w:rPr>
              <w:t>Payout Value</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10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58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800" w:type="dxa"/>
            <w:vAlign w:val="bottom"/>
            <w:shd w:val="clear" w:color="auto" w:fill="C43776"/>
          </w:tcPr>
          <w:p>
            <w:pPr>
              <w:jc w:val="right"/>
              <w:ind w:right="40"/>
              <w:spacing w:after="0" w:line="135" w:lineRule="exact"/>
              <w:rPr>
                <w:sz w:val="20"/>
                <w:szCs w:val="20"/>
                <w:color w:val="auto"/>
              </w:rPr>
            </w:pPr>
            <w:r>
              <w:rPr>
                <w:rFonts w:ascii="Arial" w:cs="Arial" w:eastAsia="Arial" w:hAnsi="Arial"/>
                <w:sz w:val="12"/>
                <w:szCs w:val="12"/>
                <w:b w:val="1"/>
                <w:bCs w:val="1"/>
                <w:color w:val="FFFFFF"/>
              </w:rPr>
              <w:t>or Units</w:t>
            </w:r>
          </w:p>
        </w:tc>
        <w:tc>
          <w:tcPr>
            <w:tcW w:w="740" w:type="dxa"/>
            <w:vAlign w:val="bottom"/>
            <w:shd w:val="clear" w:color="auto" w:fill="C43776"/>
          </w:tcPr>
          <w:p>
            <w:pPr>
              <w:jc w:val="right"/>
              <w:ind w:right="38"/>
              <w:spacing w:after="0" w:line="135" w:lineRule="exact"/>
              <w:rPr>
                <w:sz w:val="20"/>
                <w:szCs w:val="20"/>
                <w:color w:val="auto"/>
              </w:rPr>
            </w:pPr>
            <w:r>
              <w:rPr>
                <w:rFonts w:ascii="Arial" w:cs="Arial" w:eastAsia="Arial" w:hAnsi="Arial"/>
                <w:sz w:val="12"/>
                <w:szCs w:val="12"/>
                <w:b w:val="1"/>
                <w:bCs w:val="1"/>
                <w:color w:val="FFFFFF"/>
              </w:rPr>
              <w:t>Shares or</w:t>
            </w:r>
          </w:p>
        </w:tc>
        <w:tc>
          <w:tcPr>
            <w:tcW w:w="9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Shares, Units</w:t>
            </w:r>
          </w:p>
        </w:tc>
        <w:tc>
          <w:tcPr>
            <w:tcW w:w="1060" w:type="dxa"/>
            <w:vAlign w:val="bottom"/>
            <w:shd w:val="clear" w:color="auto" w:fill="C43776"/>
          </w:tcPr>
          <w:p>
            <w:pPr>
              <w:jc w:val="right"/>
              <w:ind w:right="79"/>
              <w:spacing w:after="0" w:line="135" w:lineRule="exact"/>
              <w:rPr>
                <w:sz w:val="20"/>
                <w:szCs w:val="20"/>
                <w:color w:val="auto"/>
              </w:rPr>
            </w:pPr>
            <w:r>
              <w:rPr>
                <w:rFonts w:ascii="Arial" w:cs="Arial" w:eastAsia="Arial" w:hAnsi="Arial"/>
                <w:sz w:val="12"/>
                <w:szCs w:val="12"/>
                <w:b w:val="1"/>
                <w:bCs w:val="1"/>
                <w:color w:val="FFFFFF"/>
              </w:rPr>
              <w:t>of Unearned</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Underlying</w:t>
            </w:r>
          </w:p>
        </w:tc>
        <w:tc>
          <w:tcPr>
            <w:tcW w:w="10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Underlying</w:t>
            </w: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Underlying</w:t>
            </w:r>
          </w:p>
        </w:tc>
        <w:tc>
          <w:tcPr>
            <w:tcW w:w="58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800" w:type="dxa"/>
            <w:vAlign w:val="bottom"/>
            <w:shd w:val="clear" w:color="auto" w:fill="C43776"/>
          </w:tcPr>
          <w:p>
            <w:pPr>
              <w:jc w:val="right"/>
              <w:ind w:right="40"/>
              <w:spacing w:after="0" w:line="135" w:lineRule="exact"/>
              <w:rPr>
                <w:sz w:val="20"/>
                <w:szCs w:val="20"/>
                <w:color w:val="auto"/>
              </w:rPr>
            </w:pPr>
            <w:r>
              <w:rPr>
                <w:rFonts w:ascii="Arial" w:cs="Arial" w:eastAsia="Arial" w:hAnsi="Arial"/>
                <w:sz w:val="12"/>
                <w:szCs w:val="12"/>
                <w:b w:val="1"/>
                <w:bCs w:val="1"/>
                <w:color w:val="FFFFFF"/>
              </w:rPr>
              <w:t>of Stock</w:t>
            </w:r>
          </w:p>
        </w:tc>
        <w:tc>
          <w:tcPr>
            <w:tcW w:w="740" w:type="dxa"/>
            <w:vAlign w:val="bottom"/>
            <w:shd w:val="clear" w:color="auto" w:fill="C43776"/>
          </w:tcPr>
          <w:p>
            <w:pPr>
              <w:jc w:val="right"/>
              <w:ind w:right="38"/>
              <w:spacing w:after="0" w:line="135" w:lineRule="exact"/>
              <w:rPr>
                <w:sz w:val="20"/>
                <w:szCs w:val="20"/>
                <w:color w:val="auto"/>
              </w:rPr>
            </w:pPr>
            <w:r>
              <w:rPr>
                <w:rFonts w:ascii="Arial" w:cs="Arial" w:eastAsia="Arial" w:hAnsi="Arial"/>
                <w:sz w:val="12"/>
                <w:szCs w:val="12"/>
                <w:b w:val="1"/>
                <w:bCs w:val="1"/>
                <w:color w:val="FFFFFF"/>
              </w:rPr>
              <w:t>Units of</w:t>
            </w:r>
          </w:p>
        </w:tc>
        <w:tc>
          <w:tcPr>
            <w:tcW w:w="9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or Other</w:t>
            </w:r>
          </w:p>
        </w:tc>
        <w:tc>
          <w:tcPr>
            <w:tcW w:w="1060" w:type="dxa"/>
            <w:vAlign w:val="bottom"/>
            <w:shd w:val="clear" w:color="auto" w:fill="C43776"/>
          </w:tcPr>
          <w:p>
            <w:pPr>
              <w:jc w:val="right"/>
              <w:ind w:right="79"/>
              <w:spacing w:after="0" w:line="135" w:lineRule="exact"/>
              <w:rPr>
                <w:sz w:val="20"/>
                <w:szCs w:val="20"/>
                <w:color w:val="auto"/>
              </w:rPr>
            </w:pPr>
            <w:r>
              <w:rPr>
                <w:rFonts w:ascii="Arial" w:cs="Arial" w:eastAsia="Arial" w:hAnsi="Arial"/>
                <w:sz w:val="12"/>
                <w:szCs w:val="12"/>
                <w:b w:val="1"/>
                <w:bCs w:val="1"/>
                <w:color w:val="FFFFFF"/>
              </w:rPr>
              <w:t>Shares, Units</w:t>
            </w:r>
          </w:p>
        </w:tc>
      </w:tr>
      <w:tr>
        <w:trPr>
          <w:trHeight w:val="148"/>
        </w:trPr>
        <w:tc>
          <w:tcPr>
            <w:tcW w:w="740" w:type="dxa"/>
            <w:vAlign w:val="bottom"/>
            <w:shd w:val="clear" w:color="auto" w:fill="C43776"/>
          </w:tcPr>
          <w:p>
            <w:pPr>
              <w:spacing w:after="0"/>
              <w:rPr>
                <w:sz w:val="12"/>
                <w:szCs w:val="12"/>
                <w:color w:val="auto"/>
              </w:rPr>
            </w:pPr>
          </w:p>
        </w:tc>
        <w:tc>
          <w:tcPr>
            <w:tcW w:w="8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Unexercised</w:t>
            </w:r>
          </w:p>
        </w:tc>
        <w:tc>
          <w:tcPr>
            <w:tcW w:w="10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Unexercised</w:t>
            </w: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Unexercised</w:t>
            </w:r>
          </w:p>
        </w:tc>
        <w:tc>
          <w:tcPr>
            <w:tcW w:w="5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Option</w:t>
            </w:r>
          </w:p>
        </w:tc>
        <w:tc>
          <w:tcPr>
            <w:tcW w:w="740" w:type="dxa"/>
            <w:vAlign w:val="bottom"/>
            <w:shd w:val="clear" w:color="auto" w:fill="C43776"/>
          </w:tcPr>
          <w:p>
            <w:pPr>
              <w:spacing w:after="0"/>
              <w:rPr>
                <w:sz w:val="12"/>
                <w:szCs w:val="12"/>
                <w:color w:val="auto"/>
              </w:rPr>
            </w:pPr>
          </w:p>
        </w:tc>
        <w:tc>
          <w:tcPr>
            <w:tcW w:w="800" w:type="dxa"/>
            <w:vAlign w:val="bottom"/>
            <w:shd w:val="clear" w:color="auto" w:fill="C43776"/>
          </w:tcPr>
          <w:p>
            <w:pPr>
              <w:jc w:val="right"/>
              <w:ind w:right="40"/>
              <w:spacing w:after="0"/>
              <w:rPr>
                <w:sz w:val="20"/>
                <w:szCs w:val="20"/>
                <w:color w:val="auto"/>
              </w:rPr>
            </w:pPr>
            <w:r>
              <w:rPr>
                <w:rFonts w:ascii="Arial" w:cs="Arial" w:eastAsia="Arial" w:hAnsi="Arial"/>
                <w:sz w:val="12"/>
                <w:szCs w:val="12"/>
                <w:b w:val="1"/>
                <w:bCs w:val="1"/>
                <w:color w:val="FFFFFF"/>
              </w:rPr>
              <w:t>that</w:t>
            </w:r>
          </w:p>
        </w:tc>
        <w:tc>
          <w:tcPr>
            <w:tcW w:w="740" w:type="dxa"/>
            <w:vAlign w:val="bottom"/>
            <w:shd w:val="clear" w:color="auto" w:fill="C43776"/>
          </w:tcPr>
          <w:p>
            <w:pPr>
              <w:jc w:val="right"/>
              <w:ind w:right="38"/>
              <w:spacing w:after="0"/>
              <w:rPr>
                <w:sz w:val="20"/>
                <w:szCs w:val="20"/>
                <w:color w:val="auto"/>
              </w:rPr>
            </w:pPr>
            <w:r>
              <w:rPr>
                <w:rFonts w:ascii="Arial" w:cs="Arial" w:eastAsia="Arial" w:hAnsi="Arial"/>
                <w:sz w:val="12"/>
                <w:szCs w:val="12"/>
                <w:b w:val="1"/>
                <w:bCs w:val="1"/>
                <w:color w:val="FFFFFF"/>
              </w:rPr>
              <w:t>Stock that</w:t>
            </w:r>
          </w:p>
        </w:tc>
        <w:tc>
          <w:tcPr>
            <w:tcW w:w="9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Rights that</w:t>
            </w:r>
          </w:p>
        </w:tc>
        <w:tc>
          <w:tcPr>
            <w:tcW w:w="1060" w:type="dxa"/>
            <w:vAlign w:val="bottom"/>
            <w:shd w:val="clear" w:color="auto" w:fill="C43776"/>
          </w:tcPr>
          <w:p>
            <w:pPr>
              <w:jc w:val="right"/>
              <w:ind w:right="79"/>
              <w:spacing w:after="0"/>
              <w:rPr>
                <w:sz w:val="20"/>
                <w:szCs w:val="20"/>
                <w:color w:val="auto"/>
              </w:rPr>
            </w:pPr>
            <w:r>
              <w:rPr>
                <w:rFonts w:ascii="Arial" w:cs="Arial" w:eastAsia="Arial" w:hAnsi="Arial"/>
                <w:sz w:val="12"/>
                <w:szCs w:val="12"/>
                <w:b w:val="1"/>
                <w:bCs w:val="1"/>
                <w:color w:val="FFFFFF"/>
              </w:rPr>
              <w:t>or Other Rights</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10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Unearned</w:t>
            </w:r>
          </w:p>
        </w:tc>
        <w:tc>
          <w:tcPr>
            <w:tcW w:w="5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Exercise</w:t>
            </w:r>
          </w:p>
        </w:tc>
        <w:tc>
          <w:tcPr>
            <w:tcW w:w="7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Option</w:t>
            </w:r>
          </w:p>
        </w:tc>
        <w:tc>
          <w:tcPr>
            <w:tcW w:w="800" w:type="dxa"/>
            <w:vAlign w:val="bottom"/>
            <w:shd w:val="clear" w:color="auto" w:fill="C43776"/>
          </w:tcPr>
          <w:p>
            <w:pPr>
              <w:jc w:val="right"/>
              <w:ind w:right="40"/>
              <w:spacing w:after="0" w:line="135" w:lineRule="exact"/>
              <w:rPr>
                <w:sz w:val="20"/>
                <w:szCs w:val="20"/>
                <w:color w:val="auto"/>
              </w:rPr>
            </w:pPr>
            <w:r>
              <w:rPr>
                <w:rFonts w:ascii="Arial" w:cs="Arial" w:eastAsia="Arial" w:hAnsi="Arial"/>
                <w:sz w:val="12"/>
                <w:szCs w:val="12"/>
                <w:b w:val="1"/>
                <w:bCs w:val="1"/>
                <w:color w:val="FFFFFF"/>
              </w:rPr>
              <w:t>Have Not</w:t>
            </w:r>
          </w:p>
        </w:tc>
        <w:tc>
          <w:tcPr>
            <w:tcW w:w="740" w:type="dxa"/>
            <w:vAlign w:val="bottom"/>
            <w:shd w:val="clear" w:color="auto" w:fill="C43776"/>
          </w:tcPr>
          <w:p>
            <w:pPr>
              <w:jc w:val="right"/>
              <w:ind w:right="38"/>
              <w:spacing w:after="0" w:line="135" w:lineRule="exact"/>
              <w:rPr>
                <w:sz w:val="20"/>
                <w:szCs w:val="20"/>
                <w:color w:val="auto"/>
              </w:rPr>
            </w:pPr>
            <w:r>
              <w:rPr>
                <w:rFonts w:ascii="Arial" w:cs="Arial" w:eastAsia="Arial" w:hAnsi="Arial"/>
                <w:sz w:val="12"/>
                <w:szCs w:val="12"/>
                <w:b w:val="1"/>
                <w:bCs w:val="1"/>
                <w:color w:val="FFFFFF"/>
              </w:rPr>
              <w:t>Have Not</w:t>
            </w:r>
          </w:p>
        </w:tc>
        <w:tc>
          <w:tcPr>
            <w:tcW w:w="9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Have Not</w:t>
            </w:r>
          </w:p>
        </w:tc>
        <w:tc>
          <w:tcPr>
            <w:tcW w:w="1060" w:type="dxa"/>
            <w:vAlign w:val="bottom"/>
            <w:shd w:val="clear" w:color="auto" w:fill="C43776"/>
          </w:tcPr>
          <w:p>
            <w:pPr>
              <w:jc w:val="right"/>
              <w:ind w:right="79"/>
              <w:spacing w:after="0" w:line="135" w:lineRule="exact"/>
              <w:rPr>
                <w:sz w:val="20"/>
                <w:szCs w:val="20"/>
                <w:color w:val="auto"/>
              </w:rPr>
            </w:pPr>
            <w:r>
              <w:rPr>
                <w:rFonts w:ascii="Arial" w:cs="Arial" w:eastAsia="Arial" w:hAnsi="Arial"/>
                <w:sz w:val="12"/>
                <w:szCs w:val="12"/>
                <w:b w:val="1"/>
                <w:bCs w:val="1"/>
                <w:color w:val="FFFFFF"/>
              </w:rPr>
              <w:t>that Have Not</w:t>
            </w:r>
          </w:p>
        </w:tc>
      </w:tr>
      <w:tr>
        <w:trPr>
          <w:trHeight w:val="148"/>
        </w:trPr>
        <w:tc>
          <w:tcPr>
            <w:tcW w:w="740" w:type="dxa"/>
            <w:vAlign w:val="bottom"/>
            <w:shd w:val="clear" w:color="auto" w:fill="C43776"/>
          </w:tcPr>
          <w:p>
            <w:pPr>
              <w:jc w:val="center"/>
              <w:spacing w:after="0"/>
              <w:rPr>
                <w:sz w:val="20"/>
                <w:szCs w:val="20"/>
                <w:color w:val="auto"/>
              </w:rPr>
            </w:pPr>
            <w:r>
              <w:rPr>
                <w:rFonts w:ascii="Arial" w:cs="Arial" w:eastAsia="Arial" w:hAnsi="Arial"/>
                <w:sz w:val="12"/>
                <w:szCs w:val="12"/>
                <w:b w:val="1"/>
                <w:bCs w:val="1"/>
                <w:color w:val="FFFFFF"/>
                <w:w w:val="99"/>
              </w:rPr>
              <w:t>Grant</w:t>
            </w:r>
          </w:p>
        </w:tc>
        <w:tc>
          <w:tcPr>
            <w:tcW w:w="840" w:type="dxa"/>
            <w:vAlign w:val="bottom"/>
            <w:shd w:val="clear" w:color="auto" w:fill="C43776"/>
          </w:tcPr>
          <w:p>
            <w:pPr>
              <w:jc w:val="right"/>
              <w:spacing w:after="0" w:line="149" w:lineRule="exact"/>
              <w:rPr>
                <w:sz w:val="20"/>
                <w:szCs w:val="20"/>
                <w:color w:val="auto"/>
              </w:rPr>
            </w:pPr>
            <w:r>
              <w:rPr>
                <w:rFonts w:ascii="Arial" w:cs="Arial" w:eastAsia="Arial" w:hAnsi="Arial"/>
                <w:sz w:val="12"/>
                <w:szCs w:val="12"/>
                <w:b w:val="1"/>
                <w:bCs w:val="1"/>
                <w:color w:val="FFFFFF"/>
                <w:w w:val="98"/>
              </w:rPr>
              <w:t>Exercisable</w:t>
            </w:r>
            <w:r>
              <w:rPr>
                <w:rFonts w:ascii="Arial" w:cs="Arial" w:eastAsia="Arial" w:hAnsi="Arial"/>
                <w:sz w:val="15"/>
                <w:szCs w:val="15"/>
                <w:b w:val="1"/>
                <w:bCs w:val="1"/>
                <w:color w:val="FFFFFF"/>
                <w:w w:val="98"/>
                <w:vertAlign w:val="superscript"/>
              </w:rPr>
              <w:t>(1)</w:t>
            </w:r>
          </w:p>
        </w:tc>
        <w:tc>
          <w:tcPr>
            <w:tcW w:w="1000" w:type="dxa"/>
            <w:vAlign w:val="bottom"/>
            <w:shd w:val="clear" w:color="auto" w:fill="C43776"/>
          </w:tcPr>
          <w:p>
            <w:pPr>
              <w:jc w:val="right"/>
              <w:spacing w:after="0" w:line="149" w:lineRule="exact"/>
              <w:rPr>
                <w:sz w:val="20"/>
                <w:szCs w:val="20"/>
                <w:color w:val="auto"/>
              </w:rPr>
            </w:pPr>
            <w:r>
              <w:rPr>
                <w:rFonts w:ascii="Arial" w:cs="Arial" w:eastAsia="Arial" w:hAnsi="Arial"/>
                <w:sz w:val="12"/>
                <w:szCs w:val="12"/>
                <w:b w:val="1"/>
                <w:bCs w:val="1"/>
                <w:color w:val="FFFFFF"/>
                <w:w w:val="98"/>
              </w:rPr>
              <w:t>Unexercisable</w:t>
            </w:r>
            <w:r>
              <w:rPr>
                <w:rFonts w:ascii="Arial" w:cs="Arial" w:eastAsia="Arial" w:hAnsi="Arial"/>
                <w:sz w:val="15"/>
                <w:szCs w:val="15"/>
                <w:b w:val="1"/>
                <w:bCs w:val="1"/>
                <w:color w:val="FFFFFF"/>
                <w:w w:val="98"/>
                <w:vertAlign w:val="superscript"/>
              </w:rPr>
              <w:t>(1)</w:t>
            </w:r>
          </w:p>
        </w:tc>
        <w:tc>
          <w:tcPr>
            <w:tcW w:w="780" w:type="dxa"/>
            <w:vAlign w:val="bottom"/>
            <w:shd w:val="clear" w:color="auto" w:fill="C43776"/>
          </w:tcPr>
          <w:p>
            <w:pPr>
              <w:jc w:val="right"/>
              <w:spacing w:after="0" w:line="149" w:lineRule="exact"/>
              <w:rPr>
                <w:sz w:val="20"/>
                <w:szCs w:val="20"/>
                <w:color w:val="auto"/>
              </w:rPr>
            </w:pPr>
            <w:r>
              <w:rPr>
                <w:rFonts w:ascii="Arial" w:cs="Arial" w:eastAsia="Arial" w:hAnsi="Arial"/>
                <w:sz w:val="12"/>
                <w:szCs w:val="12"/>
                <w:b w:val="1"/>
                <w:bCs w:val="1"/>
                <w:color w:val="FFFFFF"/>
              </w:rPr>
              <w:t>Options</w:t>
            </w:r>
            <w:r>
              <w:rPr>
                <w:rFonts w:ascii="Arial" w:cs="Arial" w:eastAsia="Arial" w:hAnsi="Arial"/>
                <w:sz w:val="15"/>
                <w:szCs w:val="15"/>
                <w:b w:val="1"/>
                <w:bCs w:val="1"/>
                <w:color w:val="FFFFFF"/>
                <w:vertAlign w:val="superscript"/>
              </w:rPr>
              <w:t>(2)</w:t>
            </w:r>
          </w:p>
        </w:tc>
        <w:tc>
          <w:tcPr>
            <w:tcW w:w="5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Price</w:t>
            </w:r>
          </w:p>
        </w:tc>
        <w:tc>
          <w:tcPr>
            <w:tcW w:w="7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Expiration</w:t>
            </w:r>
          </w:p>
        </w:tc>
        <w:tc>
          <w:tcPr>
            <w:tcW w:w="800" w:type="dxa"/>
            <w:vAlign w:val="bottom"/>
            <w:shd w:val="clear" w:color="auto" w:fill="C43776"/>
          </w:tcPr>
          <w:p>
            <w:pPr>
              <w:jc w:val="right"/>
              <w:ind w:right="40"/>
              <w:spacing w:after="0"/>
              <w:rPr>
                <w:sz w:val="20"/>
                <w:szCs w:val="20"/>
                <w:color w:val="auto"/>
              </w:rPr>
            </w:pPr>
            <w:r>
              <w:rPr>
                <w:rFonts w:ascii="Arial" w:cs="Arial" w:eastAsia="Arial" w:hAnsi="Arial"/>
                <w:sz w:val="12"/>
                <w:szCs w:val="12"/>
                <w:b w:val="1"/>
                <w:bCs w:val="1"/>
                <w:color w:val="FFFFFF"/>
              </w:rPr>
              <w:t>Vested</w:t>
            </w:r>
          </w:p>
        </w:tc>
        <w:tc>
          <w:tcPr>
            <w:tcW w:w="740" w:type="dxa"/>
            <w:vAlign w:val="bottom"/>
            <w:shd w:val="clear" w:color="auto" w:fill="C43776"/>
          </w:tcPr>
          <w:p>
            <w:pPr>
              <w:jc w:val="right"/>
              <w:ind w:right="38"/>
              <w:spacing w:after="0" w:line="149"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5"/>
                <w:szCs w:val="15"/>
                <w:b w:val="1"/>
                <w:bCs w:val="1"/>
                <w:color w:val="FFFFFF"/>
                <w:vertAlign w:val="superscript"/>
              </w:rPr>
              <w:t>(3)</w:t>
            </w:r>
          </w:p>
        </w:tc>
        <w:tc>
          <w:tcPr>
            <w:tcW w:w="9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Vested</w:t>
            </w:r>
          </w:p>
        </w:tc>
        <w:tc>
          <w:tcPr>
            <w:tcW w:w="1060" w:type="dxa"/>
            <w:vAlign w:val="bottom"/>
            <w:shd w:val="clear" w:color="auto" w:fill="C43776"/>
          </w:tcPr>
          <w:p>
            <w:pPr>
              <w:jc w:val="right"/>
              <w:ind w:right="79"/>
              <w:spacing w:after="0" w:line="149"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5"/>
                <w:szCs w:val="15"/>
                <w:b w:val="1"/>
                <w:bCs w:val="1"/>
                <w:color w:val="FFFFFF"/>
                <w:vertAlign w:val="superscript"/>
              </w:rPr>
              <w:t>(3)</w:t>
            </w:r>
          </w:p>
        </w:tc>
      </w:tr>
      <w:tr>
        <w:trPr>
          <w:trHeight w:val="158"/>
        </w:trPr>
        <w:tc>
          <w:tcPr>
            <w:tcW w:w="740" w:type="dxa"/>
            <w:vAlign w:val="bottom"/>
            <w:shd w:val="clear" w:color="auto" w:fill="C43776"/>
          </w:tcPr>
          <w:p>
            <w:pPr>
              <w:jc w:val="center"/>
              <w:spacing w:after="0"/>
              <w:rPr>
                <w:sz w:val="20"/>
                <w:szCs w:val="20"/>
                <w:color w:val="auto"/>
              </w:rPr>
            </w:pPr>
            <w:r>
              <w:rPr>
                <w:rFonts w:ascii="Arial" w:cs="Arial" w:eastAsia="Arial" w:hAnsi="Arial"/>
                <w:sz w:val="12"/>
                <w:szCs w:val="12"/>
                <w:b w:val="1"/>
                <w:bCs w:val="1"/>
                <w:color w:val="FFFFFF"/>
                <w:w w:val="92"/>
              </w:rPr>
              <w:t>Date</w:t>
            </w:r>
          </w:p>
        </w:tc>
        <w:tc>
          <w:tcPr>
            <w:tcW w:w="8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10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5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Date</w:t>
            </w:r>
          </w:p>
        </w:tc>
        <w:tc>
          <w:tcPr>
            <w:tcW w:w="800" w:type="dxa"/>
            <w:vAlign w:val="bottom"/>
            <w:shd w:val="clear" w:color="auto" w:fill="C43776"/>
          </w:tcPr>
          <w:p>
            <w:pPr>
              <w:jc w:val="center"/>
              <w:ind w:left="400"/>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C43776"/>
          </w:tcPr>
          <w:p>
            <w:pPr>
              <w:jc w:val="right"/>
              <w:ind w:right="38"/>
              <w:spacing w:after="0"/>
              <w:rPr>
                <w:sz w:val="20"/>
                <w:szCs w:val="20"/>
                <w:color w:val="auto"/>
              </w:rPr>
            </w:pPr>
            <w:r>
              <w:rPr>
                <w:rFonts w:ascii="Arial" w:cs="Arial" w:eastAsia="Arial" w:hAnsi="Arial"/>
                <w:sz w:val="12"/>
                <w:szCs w:val="12"/>
                <w:b w:val="1"/>
                <w:bCs w:val="1"/>
                <w:color w:val="FFFFFF"/>
              </w:rPr>
              <w:t>($)</w:t>
            </w:r>
          </w:p>
        </w:tc>
        <w:tc>
          <w:tcPr>
            <w:tcW w:w="900" w:type="dxa"/>
            <w:vAlign w:val="bottom"/>
            <w:shd w:val="clear" w:color="auto" w:fill="C43776"/>
          </w:tcPr>
          <w:p>
            <w:pPr>
              <w:jc w:val="center"/>
              <w:ind w:left="579"/>
              <w:spacing w:after="0"/>
              <w:rPr>
                <w:sz w:val="20"/>
                <w:szCs w:val="20"/>
                <w:color w:val="auto"/>
              </w:rPr>
            </w:pPr>
            <w:r>
              <w:rPr>
                <w:rFonts w:ascii="Arial" w:cs="Arial" w:eastAsia="Arial" w:hAnsi="Arial"/>
                <w:sz w:val="12"/>
                <w:szCs w:val="12"/>
                <w:b w:val="1"/>
                <w:bCs w:val="1"/>
                <w:color w:val="FFFFFF"/>
                <w:w w:val="95"/>
              </w:rPr>
              <w:t>(#)</w:t>
            </w:r>
          </w:p>
        </w:tc>
        <w:tc>
          <w:tcPr>
            <w:tcW w:w="1060" w:type="dxa"/>
            <w:vAlign w:val="bottom"/>
            <w:shd w:val="clear" w:color="auto" w:fill="C43776"/>
          </w:tcPr>
          <w:p>
            <w:pPr>
              <w:jc w:val="right"/>
              <w:ind w:right="79"/>
              <w:spacing w:after="0"/>
              <w:rPr>
                <w:sz w:val="20"/>
                <w:szCs w:val="20"/>
                <w:color w:val="auto"/>
              </w:rPr>
            </w:pPr>
            <w:r>
              <w:rPr>
                <w:rFonts w:ascii="Arial" w:cs="Arial" w:eastAsia="Arial" w:hAnsi="Arial"/>
                <w:sz w:val="12"/>
                <w:szCs w:val="12"/>
                <w:b w:val="1"/>
                <w:bCs w:val="1"/>
                <w:color w:val="FFFFFF"/>
              </w:rPr>
              <w:t>($)</w:t>
            </w:r>
          </w:p>
        </w:tc>
      </w:tr>
      <w:tr>
        <w:trPr>
          <w:trHeight w:val="95"/>
        </w:trPr>
        <w:tc>
          <w:tcPr>
            <w:tcW w:w="74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1000" w:type="dxa"/>
            <w:vAlign w:val="bottom"/>
            <w:shd w:val="clear" w:color="auto" w:fill="C43776"/>
          </w:tcPr>
          <w:p>
            <w:pPr>
              <w:spacing w:after="0"/>
              <w:rPr>
                <w:sz w:val="8"/>
                <w:szCs w:val="8"/>
                <w:color w:val="auto"/>
              </w:rPr>
            </w:pPr>
          </w:p>
        </w:tc>
        <w:tc>
          <w:tcPr>
            <w:tcW w:w="780" w:type="dxa"/>
            <w:vAlign w:val="bottom"/>
            <w:shd w:val="clear" w:color="auto" w:fill="C43776"/>
          </w:tcPr>
          <w:p>
            <w:pPr>
              <w:spacing w:after="0"/>
              <w:rPr>
                <w:sz w:val="8"/>
                <w:szCs w:val="8"/>
                <w:color w:val="auto"/>
              </w:rPr>
            </w:pPr>
          </w:p>
        </w:tc>
        <w:tc>
          <w:tcPr>
            <w:tcW w:w="580" w:type="dxa"/>
            <w:vAlign w:val="bottom"/>
            <w:shd w:val="clear" w:color="auto" w:fill="C43776"/>
          </w:tcPr>
          <w:p>
            <w:pPr>
              <w:spacing w:after="0"/>
              <w:rPr>
                <w:sz w:val="8"/>
                <w:szCs w:val="8"/>
                <w:color w:val="auto"/>
              </w:rPr>
            </w:pPr>
          </w:p>
        </w:tc>
        <w:tc>
          <w:tcPr>
            <w:tcW w:w="740" w:type="dxa"/>
            <w:vAlign w:val="bottom"/>
            <w:shd w:val="clear" w:color="auto" w:fill="C43776"/>
          </w:tcPr>
          <w:p>
            <w:pPr>
              <w:spacing w:after="0"/>
              <w:rPr>
                <w:sz w:val="8"/>
                <w:szCs w:val="8"/>
                <w:color w:val="auto"/>
              </w:rPr>
            </w:pPr>
          </w:p>
        </w:tc>
        <w:tc>
          <w:tcPr>
            <w:tcW w:w="800" w:type="dxa"/>
            <w:vAlign w:val="bottom"/>
            <w:shd w:val="clear" w:color="auto" w:fill="C43776"/>
          </w:tcPr>
          <w:p>
            <w:pPr>
              <w:spacing w:after="0"/>
              <w:rPr>
                <w:sz w:val="8"/>
                <w:szCs w:val="8"/>
                <w:color w:val="auto"/>
              </w:rPr>
            </w:pPr>
          </w:p>
        </w:tc>
        <w:tc>
          <w:tcPr>
            <w:tcW w:w="740" w:type="dxa"/>
            <w:vAlign w:val="bottom"/>
            <w:shd w:val="clear" w:color="auto" w:fill="C43776"/>
          </w:tcPr>
          <w:p>
            <w:pPr>
              <w:spacing w:after="0"/>
              <w:rPr>
                <w:sz w:val="8"/>
                <w:szCs w:val="8"/>
                <w:color w:val="auto"/>
              </w:rPr>
            </w:pPr>
          </w:p>
        </w:tc>
        <w:tc>
          <w:tcPr>
            <w:tcW w:w="900" w:type="dxa"/>
            <w:vAlign w:val="bottom"/>
            <w:shd w:val="clear" w:color="auto" w:fill="C43776"/>
          </w:tcPr>
          <w:p>
            <w:pPr>
              <w:spacing w:after="0"/>
              <w:rPr>
                <w:sz w:val="8"/>
                <w:szCs w:val="8"/>
                <w:color w:val="auto"/>
              </w:rPr>
            </w:pPr>
          </w:p>
        </w:tc>
        <w:tc>
          <w:tcPr>
            <w:tcW w:w="1060" w:type="dxa"/>
            <w:vAlign w:val="bottom"/>
            <w:shd w:val="clear" w:color="auto" w:fill="C43776"/>
          </w:tcPr>
          <w:p>
            <w:pPr>
              <w:spacing w:after="0"/>
              <w:rPr>
                <w:sz w:val="8"/>
                <w:szCs w:val="8"/>
                <w:color w:val="auto"/>
              </w:rPr>
            </w:pPr>
          </w:p>
        </w:tc>
      </w:tr>
      <w:tr>
        <w:trPr>
          <w:trHeight w:val="310"/>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1/25/2017</w:t>
            </w:r>
          </w:p>
        </w:tc>
        <w:tc>
          <w:tcPr>
            <w:tcW w:w="840" w:type="dxa"/>
            <w:vAlign w:val="bottom"/>
          </w:tcPr>
          <w:p>
            <w:pPr>
              <w:jc w:val="right"/>
              <w:spacing w:after="0"/>
              <w:rPr>
                <w:sz w:val="20"/>
                <w:szCs w:val="20"/>
                <w:color w:val="auto"/>
              </w:rPr>
            </w:pPr>
            <w:r>
              <w:rPr>
                <w:rFonts w:ascii="Arial" w:cs="Arial" w:eastAsia="Arial" w:hAnsi="Arial"/>
                <w:sz w:val="13"/>
                <w:szCs w:val="13"/>
                <w:color w:val="auto"/>
              </w:rPr>
              <w:t>850,000</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150.74</w:t>
            </w:r>
          </w:p>
        </w:tc>
        <w:tc>
          <w:tcPr>
            <w:tcW w:w="740" w:type="dxa"/>
            <w:vAlign w:val="bottom"/>
          </w:tcPr>
          <w:p>
            <w:pPr>
              <w:jc w:val="right"/>
              <w:spacing w:after="0"/>
              <w:rPr>
                <w:sz w:val="20"/>
                <w:szCs w:val="20"/>
                <w:color w:val="auto"/>
              </w:rPr>
            </w:pPr>
            <w:r>
              <w:rPr>
                <w:rFonts w:ascii="Arial" w:cs="Arial" w:eastAsia="Arial" w:hAnsi="Arial"/>
                <w:sz w:val="13"/>
                <w:szCs w:val="13"/>
                <w:color w:val="auto"/>
              </w:rPr>
              <w:t>1/25/2027</w:t>
            </w:r>
          </w:p>
        </w:tc>
        <w:tc>
          <w:tcPr>
            <w:tcW w:w="800" w:type="dxa"/>
            <w:vAlign w:val="bottom"/>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300"/>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14,441</w:t>
            </w:r>
            <w:r>
              <w:rPr>
                <w:rFonts w:ascii="Arial" w:cs="Arial" w:eastAsia="Arial" w:hAnsi="Arial"/>
                <w:sz w:val="16"/>
                <w:szCs w:val="16"/>
                <w:color w:val="auto"/>
                <w:vertAlign w:val="superscript"/>
              </w:rPr>
              <w:t>(4)</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4,345,730</w:t>
            </w:r>
          </w:p>
        </w:tc>
        <w:tc>
          <w:tcPr>
            <w:tcW w:w="900" w:type="dxa"/>
            <w:vAlign w:val="bottom"/>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15,112</w:t>
            </w:r>
            <w:r>
              <w:rPr>
                <w:rFonts w:ascii="Arial" w:cs="Arial" w:eastAsia="Arial" w:hAnsi="Arial"/>
                <w:sz w:val="16"/>
                <w:szCs w:val="16"/>
                <w:color w:val="auto"/>
                <w:vertAlign w:val="superscript"/>
              </w:rPr>
              <w:t>(12)</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4,547,654</w:t>
            </w:r>
          </w:p>
        </w:tc>
        <w:tc>
          <w:tcPr>
            <w:tcW w:w="900" w:type="dxa"/>
            <w:vAlign w:val="bottom"/>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10,831</w:t>
            </w:r>
            <w:r>
              <w:rPr>
                <w:rFonts w:ascii="Arial" w:cs="Arial" w:eastAsia="Arial" w:hAnsi="Arial"/>
                <w:sz w:val="16"/>
                <w:szCs w:val="16"/>
                <w:color w:val="auto"/>
                <w:vertAlign w:val="superscript"/>
              </w:rPr>
              <w:t>(10)</w:t>
            </w: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3,259,373</w:t>
            </w:r>
          </w:p>
        </w:tc>
      </w:tr>
      <w:tr>
        <w:trPr>
          <w:trHeight w:val="254"/>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5,301</w:t>
            </w:r>
            <w:r>
              <w:rPr>
                <w:rFonts w:ascii="Arial" w:cs="Arial" w:eastAsia="Arial" w:hAnsi="Arial"/>
                <w:sz w:val="16"/>
                <w:szCs w:val="16"/>
                <w:color w:val="auto"/>
                <w:vertAlign w:val="superscript"/>
              </w:rPr>
              <w:t>(6)</w:t>
            </w: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1,595,230</w:t>
            </w:r>
          </w:p>
        </w:tc>
      </w:tr>
      <w:tr>
        <w:trPr>
          <w:trHeight w:val="236"/>
        </w:trPr>
        <w:tc>
          <w:tcPr>
            <w:tcW w:w="7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12,213</w:t>
            </w:r>
          </w:p>
        </w:tc>
        <w:tc>
          <w:tcPr>
            <w:tcW w:w="7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319.61</w:t>
            </w:r>
          </w:p>
        </w:tc>
        <w:tc>
          <w:tcPr>
            <w:tcW w:w="7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7/15/2035</w:t>
            </w:r>
          </w:p>
        </w:tc>
        <w:tc>
          <w:tcPr>
            <w:tcW w:w="800" w:type="dxa"/>
            <w:vAlign w:val="bottom"/>
            <w:tcBorders>
              <w:bottom w:val="single" w:sz="8" w:color="F1F2F2"/>
            </w:tcBorders>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F1F2F2"/>
            </w:tcBorders>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F1F2F2"/>
            </w:tcBorders>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1F2F2"/>
            </w:tcBorders>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15"/>
        </w:trPr>
        <w:tc>
          <w:tcPr>
            <w:tcW w:w="740" w:type="dxa"/>
            <w:vAlign w:val="bottom"/>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42,308</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319.61</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7/15/2035</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98"/>
        </w:trPr>
        <w:tc>
          <w:tcPr>
            <w:tcW w:w="740" w:type="dxa"/>
            <w:vAlign w:val="bottom"/>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ind w:right="40"/>
              <w:spacing w:after="0"/>
              <w:rPr>
                <w:sz w:val="20"/>
                <w:szCs w:val="20"/>
                <w:color w:val="auto"/>
              </w:rPr>
            </w:pPr>
            <w:r>
              <w:rPr>
                <w:rFonts w:ascii="Arial" w:cs="Arial" w:eastAsia="Arial" w:hAnsi="Arial"/>
                <w:sz w:val="13"/>
                <w:szCs w:val="13"/>
                <w:color w:val="auto"/>
              </w:rPr>
              <w:t>861</w:t>
            </w:r>
            <w:r>
              <w:rPr>
                <w:rFonts w:ascii="Arial" w:cs="Arial" w:eastAsia="Arial" w:hAnsi="Arial"/>
                <w:sz w:val="16"/>
                <w:szCs w:val="16"/>
                <w:color w:val="auto"/>
                <w:vertAlign w:val="superscript"/>
              </w:rPr>
              <w:t>(4)</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259,101</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ind w:right="40"/>
              <w:spacing w:after="0"/>
              <w:rPr>
                <w:sz w:val="20"/>
                <w:szCs w:val="20"/>
                <w:color w:val="auto"/>
              </w:rPr>
            </w:pPr>
            <w:r>
              <w:rPr>
                <w:rFonts w:ascii="Arial" w:cs="Arial" w:eastAsia="Arial" w:hAnsi="Arial"/>
                <w:sz w:val="13"/>
                <w:szCs w:val="13"/>
                <w:color w:val="auto"/>
              </w:rPr>
              <w:t>3,129</w:t>
            </w:r>
            <w:r>
              <w:rPr>
                <w:rFonts w:ascii="Arial" w:cs="Arial" w:eastAsia="Arial" w:hAnsi="Arial"/>
                <w:sz w:val="16"/>
                <w:szCs w:val="16"/>
                <w:color w:val="auto"/>
                <w:vertAlign w:val="superscript"/>
              </w:rPr>
              <w:t>(5)</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941,610</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ind w:right="40"/>
              <w:spacing w:after="0"/>
              <w:rPr>
                <w:sz w:val="20"/>
                <w:szCs w:val="20"/>
                <w:color w:val="auto"/>
              </w:rPr>
            </w:pPr>
            <w:r>
              <w:rPr>
                <w:rFonts w:ascii="Arial" w:cs="Arial" w:eastAsia="Arial" w:hAnsi="Arial"/>
                <w:sz w:val="13"/>
                <w:szCs w:val="13"/>
                <w:color w:val="auto"/>
              </w:rPr>
              <w:t>1,252</w:t>
            </w:r>
            <w:r>
              <w:rPr>
                <w:rFonts w:ascii="Arial" w:cs="Arial" w:eastAsia="Arial" w:hAnsi="Arial"/>
                <w:sz w:val="16"/>
                <w:szCs w:val="16"/>
                <w:color w:val="auto"/>
                <w:vertAlign w:val="superscript"/>
              </w:rPr>
              <w:t>(15)</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376,764</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574</w:t>
            </w:r>
            <w:r>
              <w:rPr>
                <w:rFonts w:ascii="Arial" w:cs="Arial" w:eastAsia="Arial" w:hAnsi="Arial"/>
                <w:sz w:val="16"/>
                <w:szCs w:val="16"/>
                <w:color w:val="auto"/>
                <w:vertAlign w:val="superscript"/>
              </w:rPr>
              <w:t>(7)</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172,734</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1,205</w:t>
            </w:r>
            <w:r>
              <w:rPr>
                <w:rFonts w:ascii="Arial" w:cs="Arial" w:eastAsia="Arial" w:hAnsi="Arial"/>
                <w:sz w:val="16"/>
                <w:szCs w:val="16"/>
                <w:color w:val="auto"/>
                <w:vertAlign w:val="superscript"/>
              </w:rPr>
              <w:t>(8)</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362,621</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7/15/2025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517</w:t>
            </w:r>
            <w:r>
              <w:rPr>
                <w:rFonts w:ascii="Arial" w:cs="Arial" w:eastAsia="Arial" w:hAnsi="Arial"/>
                <w:sz w:val="16"/>
                <w:szCs w:val="16"/>
                <w:color w:val="auto"/>
                <w:vertAlign w:val="superscript"/>
              </w:rPr>
              <w:t>(9)</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155,581</w:t>
            </w:r>
          </w:p>
        </w:tc>
      </w:tr>
      <w:tr>
        <w:trPr>
          <w:trHeight w:val="270"/>
        </w:trPr>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95"/>
        </w:trPr>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36"/>
        </w:trPr>
        <w:tc>
          <w:tcPr>
            <w:tcW w:w="7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4/10/2020</w:t>
            </w:r>
          </w:p>
        </w:tc>
        <w:tc>
          <w:tcPr>
            <w:tcW w:w="8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4,424</w:t>
            </w:r>
          </w:p>
        </w:tc>
        <w:tc>
          <w:tcPr>
            <w:tcW w:w="10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224.99</w:t>
            </w:r>
          </w:p>
        </w:tc>
        <w:tc>
          <w:tcPr>
            <w:tcW w:w="7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4/10/2030</w:t>
            </w:r>
          </w:p>
        </w:tc>
        <w:tc>
          <w:tcPr>
            <w:tcW w:w="800" w:type="dxa"/>
            <w:vAlign w:val="bottom"/>
            <w:tcBorders>
              <w:bottom w:val="single" w:sz="8" w:color="F1F2F2"/>
            </w:tcBorders>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F1F2F2"/>
            </w:tcBorders>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F1F2F2"/>
            </w:tcBorders>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1F2F2"/>
            </w:tcBorders>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16"/>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1/24/2022</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3,441</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1,147</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225.45</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1/24/2032</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98"/>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1/24/2022</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ind w:right="40"/>
              <w:spacing w:after="0"/>
              <w:rPr>
                <w:sz w:val="20"/>
                <w:szCs w:val="20"/>
                <w:color w:val="auto"/>
              </w:rPr>
            </w:pPr>
            <w:r>
              <w:rPr>
                <w:rFonts w:ascii="Arial" w:cs="Arial" w:eastAsia="Arial" w:hAnsi="Arial"/>
                <w:sz w:val="25"/>
                <w:szCs w:val="25"/>
                <w:color w:val="auto"/>
                <w:vertAlign w:val="subscript"/>
              </w:rPr>
              <w:t>139</w:t>
            </w:r>
            <w:r>
              <w:rPr>
                <w:rFonts w:ascii="Arial" w:cs="Arial" w:eastAsia="Arial" w:hAnsi="Arial"/>
                <w:sz w:val="8"/>
                <w:szCs w:val="8"/>
                <w:color w:val="auto"/>
              </w:rPr>
              <w:t>(11)</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41,829</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15"/>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782</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2,348</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272.38</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2/14/2034</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98"/>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right"/>
              <w:ind w:right="40"/>
              <w:spacing w:after="0"/>
              <w:rPr>
                <w:sz w:val="20"/>
                <w:szCs w:val="20"/>
                <w:color w:val="auto"/>
              </w:rPr>
            </w:pPr>
            <w:r>
              <w:rPr>
                <w:rFonts w:ascii="Arial" w:cs="Arial" w:eastAsia="Arial" w:hAnsi="Arial"/>
                <w:sz w:val="25"/>
                <w:szCs w:val="25"/>
                <w:color w:val="auto"/>
                <w:vertAlign w:val="subscript"/>
              </w:rPr>
              <w:t>375</w:t>
            </w:r>
            <w:r>
              <w:rPr>
                <w:rFonts w:ascii="Arial" w:cs="Arial" w:eastAsia="Arial" w:hAnsi="Arial"/>
                <w:sz w:val="8"/>
                <w:szCs w:val="8"/>
                <w:color w:val="auto"/>
              </w:rPr>
              <w:t>(13)</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112,849</w:t>
            </w:r>
          </w:p>
        </w:tc>
        <w:tc>
          <w:tcPr>
            <w:tcW w:w="900" w:type="dxa"/>
            <w:vAlign w:val="bottom"/>
            <w:shd w:val="clear" w:color="auto" w:fill="F1F2F2"/>
          </w:tcPr>
          <w:p>
            <w:pPr>
              <w:jc w:val="center"/>
              <w:ind w:left="579"/>
              <w:spacing w:after="0"/>
              <w:rPr>
                <w:sz w:val="20"/>
                <w:szCs w:val="20"/>
                <w:color w:val="auto"/>
              </w:rPr>
            </w:pPr>
            <w:r>
              <w:rPr>
                <w:rFonts w:ascii="Arial" w:cs="Arial" w:eastAsia="Arial" w:hAnsi="Arial"/>
                <w:sz w:val="13"/>
                <w:szCs w:val="13"/>
                <w:color w:val="auto"/>
              </w:rPr>
              <w:t>—</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4/22/2025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293</w:t>
            </w:r>
            <w:r>
              <w:rPr>
                <w:rFonts w:ascii="Arial" w:cs="Arial" w:eastAsia="Arial" w:hAnsi="Arial"/>
                <w:sz w:val="16"/>
                <w:szCs w:val="16"/>
                <w:color w:val="auto"/>
                <w:vertAlign w:val="superscript"/>
              </w:rPr>
              <w:t>(6)</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88,172</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4/22/2025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1F2F2"/>
          </w:tcPr>
          <w:p>
            <w:pPr>
              <w:jc w:val="center"/>
              <w:ind w:left="42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ind w:right="38"/>
              <w:spacing w:after="0"/>
              <w:rPr>
                <w:sz w:val="20"/>
                <w:szCs w:val="20"/>
                <w:color w:val="auto"/>
              </w:rPr>
            </w:pPr>
            <w:r>
              <w:rPr>
                <w:rFonts w:ascii="Arial" w:cs="Arial" w:eastAsia="Arial" w:hAnsi="Arial"/>
                <w:sz w:val="13"/>
                <w:szCs w:val="13"/>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813</w:t>
            </w:r>
            <w:r>
              <w:rPr>
                <w:rFonts w:ascii="Arial" w:cs="Arial" w:eastAsia="Arial" w:hAnsi="Arial"/>
                <w:sz w:val="16"/>
                <w:szCs w:val="16"/>
                <w:color w:val="auto"/>
                <w:vertAlign w:val="superscript"/>
              </w:rPr>
              <w:t>(7)</w:t>
            </w:r>
          </w:p>
        </w:tc>
        <w:tc>
          <w:tcPr>
            <w:tcW w:w="1060" w:type="dxa"/>
            <w:vAlign w:val="bottom"/>
            <w:shd w:val="clear" w:color="auto" w:fill="F1F2F2"/>
          </w:tcPr>
          <w:p>
            <w:pPr>
              <w:jc w:val="right"/>
              <w:ind w:right="79"/>
              <w:spacing w:after="0"/>
              <w:rPr>
                <w:sz w:val="20"/>
                <w:szCs w:val="20"/>
                <w:color w:val="auto"/>
              </w:rPr>
            </w:pPr>
            <w:r>
              <w:rPr>
                <w:rFonts w:ascii="Arial" w:cs="Arial" w:eastAsia="Arial" w:hAnsi="Arial"/>
                <w:sz w:val="13"/>
                <w:szCs w:val="13"/>
                <w:color w:val="auto"/>
              </w:rPr>
              <w:t>244,656</w:t>
            </w:r>
          </w:p>
        </w:tc>
      </w:tr>
    </w:tbl>
    <w:p>
      <w:pPr>
        <w:spacing w:after="0" w:line="200" w:lineRule="exact"/>
        <w:rPr>
          <w:sz w:val="20"/>
          <w:szCs w:val="20"/>
          <w:color w:val="auto"/>
        </w:rPr>
      </w:pPr>
    </w:p>
    <w:p>
      <w:pPr>
        <w:sectPr>
          <w:pgSz w:w="11900" w:h="16838" w:orient="portrait"/>
          <w:cols w:equalWidth="0" w:num="2">
            <w:col w:w="700" w:space="180"/>
            <w:col w:w="8180"/>
          </w:cols>
          <w:pgMar w:left="1400" w:top="77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351"/>
        <w:spacing w:after="0"/>
        <w:tabs>
          <w:tab w:leader="none" w:pos="420" w:val="left"/>
        </w:tabs>
        <w:numPr>
          <w:ilvl w:val="0"/>
          <w:numId w:val="53"/>
        </w:numPr>
        <w:rPr>
          <w:rFonts w:ascii="Arial" w:cs="Arial" w:eastAsia="Arial" w:hAnsi="Arial"/>
          <w:sz w:val="13"/>
          <w:szCs w:val="13"/>
          <w:b w:val="1"/>
          <w:bCs w:val="1"/>
          <w:color w:val="2C6EC4"/>
        </w:rPr>
      </w:pPr>
      <w:r>
        <w:rPr>
          <w:rFonts w:ascii="Arial" w:cs="Arial" w:eastAsia="Arial" w:hAnsi="Arial"/>
          <w:sz w:val="12"/>
          <w:szCs w:val="12"/>
          <w:color w:val="auto"/>
        </w:rPr>
        <w:t>2026 Notice of Annual Meeting &amp; Proxy Statement</w:t>
      </w:r>
    </w:p>
    <w:p>
      <w:pPr>
        <w:sectPr>
          <w:pgSz w:w="11900" w:h="16838" w:orient="portrait"/>
          <w:cols w:equalWidth="0" w:num="1">
            <w:col w:w="9060"/>
          </w:cols>
          <w:pgMar w:left="1400" w:top="770" w:right="1439" w:bottom="1440" w:gutter="0" w:footer="0" w:header="0"/>
          <w:type w:val="continuous"/>
        </w:sectPr>
      </w:pPr>
    </w:p>
    <w:bookmarkStart w:id="54" w:name="page55"/>
    <w:bookmarkEnd w:id="54"/>
    <w:p>
      <w:pPr>
        <w:ind w:left="52"/>
        <w:spacing w:after="0"/>
        <w:tabs>
          <w:tab w:leader="none" w:pos="5612"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06. 2025 NAMED EXECUTIVE OFFICER COMPENSATION</w:t>
      </w:r>
    </w:p>
    <w:p>
      <w:pPr>
        <w:sectPr>
          <w:pgSz w:w="11900" w:h="16838" w:orient="portrait"/>
          <w:cols w:equalWidth="0" w:num="1">
            <w:col w:w="9052"/>
          </w:cols>
          <w:pgMar w:left="1408" w:top="729"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2"/>
        <w:spacing w:after="0"/>
        <w:rPr>
          <w:sz w:val="20"/>
          <w:szCs w:val="20"/>
          <w:color w:val="auto"/>
        </w:rPr>
      </w:pPr>
      <w:r>
        <w:rPr>
          <w:rFonts w:ascii="Arial" w:cs="Arial" w:eastAsia="Arial" w:hAnsi="Arial"/>
          <w:sz w:val="12"/>
          <w:szCs w:val="12"/>
          <w:b w:val="1"/>
          <w:bCs w:val="1"/>
          <w:color w:val="FFFFFF"/>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2" w:right="40"/>
        <w:spacing w:after="0" w:line="317" w:lineRule="auto"/>
        <w:rPr>
          <w:sz w:val="20"/>
          <w:szCs w:val="20"/>
          <w:color w:val="auto"/>
        </w:rPr>
      </w:pPr>
      <w:r>
        <w:rPr>
          <w:rFonts w:ascii="Arial" w:cs="Arial" w:eastAsia="Arial" w:hAnsi="Arial"/>
          <w:sz w:val="12"/>
          <w:szCs w:val="12"/>
          <w:b w:val="1"/>
          <w:bCs w:val="1"/>
          <w:color w:val="auto"/>
        </w:rPr>
        <w:t>Armando L. Netto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132"/>
        <w:spacing w:after="0"/>
        <w:rPr>
          <w:sz w:val="20"/>
          <w:szCs w:val="20"/>
          <w:color w:val="auto"/>
        </w:rPr>
      </w:pPr>
      <w:r>
        <w:rPr>
          <w:rFonts w:ascii="Arial" w:cs="Arial" w:eastAsia="Arial" w:hAnsi="Arial"/>
          <w:sz w:val="12"/>
          <w:szCs w:val="12"/>
          <w:b w:val="1"/>
          <w:bCs w:val="1"/>
          <w:color w:val="auto"/>
        </w:rPr>
        <w:t>Alan 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gridSpan w:val="2"/>
          </w:tcPr>
          <w:p>
            <w:pPr>
              <w:jc w:val="right"/>
              <w:ind w:right="98"/>
              <w:spacing w:after="0"/>
              <w:rPr>
                <w:sz w:val="20"/>
                <w:szCs w:val="20"/>
                <w:color w:val="auto"/>
              </w:rPr>
            </w:pPr>
            <w:r>
              <w:rPr>
                <w:rFonts w:ascii="Arial" w:cs="Arial" w:eastAsia="Arial" w:hAnsi="Arial"/>
                <w:sz w:val="12"/>
                <w:szCs w:val="12"/>
                <w:b w:val="1"/>
                <w:bCs w:val="1"/>
                <w:color w:val="FFFFFF"/>
              </w:rPr>
              <w:t>OPTION AWARDS</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gridSpan w:val="2"/>
          </w:tcPr>
          <w:p>
            <w:pPr>
              <w:jc w:val="right"/>
              <w:ind w:right="99"/>
              <w:spacing w:after="0"/>
              <w:rPr>
                <w:sz w:val="20"/>
                <w:szCs w:val="20"/>
                <w:color w:val="auto"/>
              </w:rPr>
            </w:pPr>
            <w:r>
              <w:rPr>
                <w:rFonts w:ascii="Arial" w:cs="Arial" w:eastAsia="Arial" w:hAnsi="Arial"/>
                <w:sz w:val="12"/>
                <w:szCs w:val="12"/>
                <w:b w:val="1"/>
                <w:bCs w:val="1"/>
                <w:color w:val="FFFFFF"/>
              </w:rPr>
              <w:t>STOCK AWARDS</w:t>
            </w:r>
          </w:p>
        </w:tc>
        <w:tc>
          <w:tcPr>
            <w:tcW w:w="1080" w:type="dxa"/>
            <w:vAlign w:val="bottom"/>
          </w:tcPr>
          <w:p>
            <w:pPr>
              <w:spacing w:after="0"/>
              <w:rPr>
                <w:sz w:val="13"/>
                <w:szCs w:val="13"/>
                <w:color w:val="auto"/>
              </w:rPr>
            </w:pPr>
          </w:p>
        </w:tc>
      </w:tr>
      <w:tr>
        <w:trPr>
          <w:trHeight w:val="287"/>
        </w:trPr>
        <w:tc>
          <w:tcPr>
            <w:tcW w:w="740" w:type="dxa"/>
            <w:vAlign w:val="bottom"/>
            <w:shd w:val="clear" w:color="auto" w:fill="C43776"/>
          </w:tcPr>
          <w:p>
            <w:pPr>
              <w:spacing w:after="0"/>
              <w:rPr>
                <w:sz w:val="24"/>
                <w:szCs w:val="24"/>
                <w:color w:val="auto"/>
              </w:rPr>
            </w:pPr>
          </w:p>
        </w:tc>
        <w:tc>
          <w:tcPr>
            <w:tcW w:w="840" w:type="dxa"/>
            <w:vAlign w:val="bottom"/>
            <w:shd w:val="clear" w:color="auto" w:fill="C43776"/>
          </w:tcPr>
          <w:p>
            <w:pPr>
              <w:spacing w:after="0"/>
              <w:rPr>
                <w:sz w:val="24"/>
                <w:szCs w:val="24"/>
                <w:color w:val="auto"/>
              </w:rPr>
            </w:pPr>
          </w:p>
        </w:tc>
        <w:tc>
          <w:tcPr>
            <w:tcW w:w="1000" w:type="dxa"/>
            <w:vAlign w:val="bottom"/>
            <w:shd w:val="clear" w:color="auto" w:fill="C43776"/>
          </w:tcPr>
          <w:p>
            <w:pPr>
              <w:spacing w:after="0"/>
              <w:rPr>
                <w:sz w:val="24"/>
                <w:szCs w:val="24"/>
                <w:color w:val="auto"/>
              </w:rPr>
            </w:pP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Equity</w:t>
            </w:r>
          </w:p>
        </w:tc>
        <w:tc>
          <w:tcPr>
            <w:tcW w:w="580" w:type="dxa"/>
            <w:vAlign w:val="bottom"/>
            <w:shd w:val="clear" w:color="auto" w:fill="C43776"/>
          </w:tcPr>
          <w:p>
            <w:pPr>
              <w:spacing w:after="0"/>
              <w:rPr>
                <w:sz w:val="24"/>
                <w:szCs w:val="24"/>
                <w:color w:val="auto"/>
              </w:rPr>
            </w:pPr>
          </w:p>
        </w:tc>
        <w:tc>
          <w:tcPr>
            <w:tcW w:w="740" w:type="dxa"/>
            <w:vAlign w:val="bottom"/>
            <w:shd w:val="clear" w:color="auto" w:fill="C43776"/>
          </w:tcPr>
          <w:p>
            <w:pPr>
              <w:spacing w:after="0"/>
              <w:rPr>
                <w:sz w:val="24"/>
                <w:szCs w:val="24"/>
                <w:color w:val="auto"/>
              </w:rPr>
            </w:pPr>
          </w:p>
        </w:tc>
        <w:tc>
          <w:tcPr>
            <w:tcW w:w="760" w:type="dxa"/>
            <w:vAlign w:val="bottom"/>
            <w:shd w:val="clear" w:color="auto" w:fill="C43776"/>
          </w:tcPr>
          <w:p>
            <w:pPr>
              <w:spacing w:after="0"/>
              <w:rPr>
                <w:sz w:val="24"/>
                <w:szCs w:val="24"/>
                <w:color w:val="auto"/>
              </w:rPr>
            </w:pPr>
          </w:p>
        </w:tc>
        <w:tc>
          <w:tcPr>
            <w:tcW w:w="740" w:type="dxa"/>
            <w:vAlign w:val="bottom"/>
            <w:shd w:val="clear" w:color="auto" w:fill="C43776"/>
          </w:tcPr>
          <w:p>
            <w:pPr>
              <w:spacing w:after="0"/>
              <w:rPr>
                <w:sz w:val="24"/>
                <w:szCs w:val="24"/>
                <w:color w:val="auto"/>
              </w:rPr>
            </w:pPr>
          </w:p>
        </w:tc>
        <w:tc>
          <w:tcPr>
            <w:tcW w:w="92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Equity</w:t>
            </w:r>
          </w:p>
        </w:tc>
        <w:tc>
          <w:tcPr>
            <w:tcW w:w="1080" w:type="dxa"/>
            <w:vAlign w:val="bottom"/>
            <w:shd w:val="clear" w:color="auto" w:fill="C43776"/>
          </w:tcPr>
          <w:p>
            <w:pPr>
              <w:jc w:val="right"/>
              <w:ind w:right="78"/>
              <w:spacing w:after="0"/>
              <w:rPr>
                <w:sz w:val="20"/>
                <w:szCs w:val="20"/>
                <w:color w:val="auto"/>
              </w:rPr>
            </w:pPr>
            <w:r>
              <w:rPr>
                <w:rFonts w:ascii="Arial" w:cs="Arial" w:eastAsia="Arial" w:hAnsi="Arial"/>
                <w:sz w:val="12"/>
                <w:szCs w:val="12"/>
                <w:b w:val="1"/>
                <w:bCs w:val="1"/>
                <w:color w:val="FFFFFF"/>
              </w:rPr>
              <w:t>Equity</w:t>
            </w:r>
          </w:p>
        </w:tc>
      </w:tr>
      <w:tr>
        <w:trPr>
          <w:trHeight w:val="148"/>
        </w:trPr>
        <w:tc>
          <w:tcPr>
            <w:tcW w:w="740" w:type="dxa"/>
            <w:vAlign w:val="bottom"/>
            <w:shd w:val="clear" w:color="auto" w:fill="C43776"/>
          </w:tcPr>
          <w:p>
            <w:pPr>
              <w:spacing w:after="0"/>
              <w:rPr>
                <w:sz w:val="12"/>
                <w:szCs w:val="12"/>
                <w:color w:val="auto"/>
              </w:rPr>
            </w:pPr>
          </w:p>
        </w:tc>
        <w:tc>
          <w:tcPr>
            <w:tcW w:w="840" w:type="dxa"/>
            <w:vAlign w:val="bottom"/>
            <w:shd w:val="clear" w:color="auto" w:fill="C43776"/>
          </w:tcPr>
          <w:p>
            <w:pPr>
              <w:spacing w:after="0"/>
              <w:rPr>
                <w:sz w:val="12"/>
                <w:szCs w:val="12"/>
                <w:color w:val="auto"/>
              </w:rPr>
            </w:pPr>
          </w:p>
        </w:tc>
        <w:tc>
          <w:tcPr>
            <w:tcW w:w="1000" w:type="dxa"/>
            <w:vAlign w:val="bottom"/>
            <w:shd w:val="clear" w:color="auto" w:fill="C43776"/>
          </w:tcPr>
          <w:p>
            <w:pPr>
              <w:spacing w:after="0"/>
              <w:rPr>
                <w:sz w:val="12"/>
                <w:szCs w:val="12"/>
                <w:color w:val="auto"/>
              </w:rPr>
            </w:pP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Incentive</w:t>
            </w:r>
          </w:p>
        </w:tc>
        <w:tc>
          <w:tcPr>
            <w:tcW w:w="580" w:type="dxa"/>
            <w:vAlign w:val="bottom"/>
            <w:shd w:val="clear" w:color="auto" w:fill="C43776"/>
          </w:tcPr>
          <w:p>
            <w:pPr>
              <w:spacing w:after="0"/>
              <w:rPr>
                <w:sz w:val="12"/>
                <w:szCs w:val="12"/>
                <w:color w:val="auto"/>
              </w:rPr>
            </w:pPr>
          </w:p>
        </w:tc>
        <w:tc>
          <w:tcPr>
            <w:tcW w:w="740" w:type="dxa"/>
            <w:vAlign w:val="bottom"/>
            <w:shd w:val="clear" w:color="auto" w:fill="C43776"/>
          </w:tcPr>
          <w:p>
            <w:pPr>
              <w:spacing w:after="0"/>
              <w:rPr>
                <w:sz w:val="12"/>
                <w:szCs w:val="12"/>
                <w:color w:val="auto"/>
              </w:rPr>
            </w:pPr>
          </w:p>
        </w:tc>
        <w:tc>
          <w:tcPr>
            <w:tcW w:w="760" w:type="dxa"/>
            <w:vAlign w:val="bottom"/>
            <w:shd w:val="clear" w:color="auto" w:fill="C43776"/>
          </w:tcPr>
          <w:p>
            <w:pPr>
              <w:spacing w:after="0"/>
              <w:rPr>
                <w:sz w:val="12"/>
                <w:szCs w:val="12"/>
                <w:color w:val="auto"/>
              </w:rPr>
            </w:pPr>
          </w:p>
        </w:tc>
        <w:tc>
          <w:tcPr>
            <w:tcW w:w="740" w:type="dxa"/>
            <w:vAlign w:val="bottom"/>
            <w:shd w:val="clear" w:color="auto" w:fill="C43776"/>
          </w:tcPr>
          <w:p>
            <w:pPr>
              <w:spacing w:after="0"/>
              <w:rPr>
                <w:sz w:val="12"/>
                <w:szCs w:val="12"/>
                <w:color w:val="auto"/>
              </w:rPr>
            </w:pPr>
          </w:p>
        </w:tc>
        <w:tc>
          <w:tcPr>
            <w:tcW w:w="92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Incentive</w:t>
            </w:r>
          </w:p>
        </w:tc>
        <w:tc>
          <w:tcPr>
            <w:tcW w:w="1080" w:type="dxa"/>
            <w:vAlign w:val="bottom"/>
            <w:shd w:val="clear" w:color="auto" w:fill="C43776"/>
          </w:tcPr>
          <w:p>
            <w:pPr>
              <w:jc w:val="right"/>
              <w:ind w:right="78"/>
              <w:spacing w:after="0"/>
              <w:rPr>
                <w:sz w:val="20"/>
                <w:szCs w:val="20"/>
                <w:color w:val="auto"/>
              </w:rPr>
            </w:pPr>
            <w:r>
              <w:rPr>
                <w:rFonts w:ascii="Arial" w:cs="Arial" w:eastAsia="Arial" w:hAnsi="Arial"/>
                <w:sz w:val="12"/>
                <w:szCs w:val="12"/>
                <w:b w:val="1"/>
                <w:bCs w:val="1"/>
                <w:color w:val="FFFFFF"/>
              </w:rPr>
              <w:t>Incentive</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spacing w:after="0"/>
              <w:rPr>
                <w:sz w:val="11"/>
                <w:szCs w:val="11"/>
                <w:color w:val="auto"/>
              </w:rPr>
            </w:pPr>
          </w:p>
        </w:tc>
        <w:tc>
          <w:tcPr>
            <w:tcW w:w="1000" w:type="dxa"/>
            <w:vAlign w:val="bottom"/>
            <w:shd w:val="clear" w:color="auto" w:fill="C43776"/>
          </w:tcPr>
          <w:p>
            <w:pPr>
              <w:spacing w:after="0"/>
              <w:rPr>
                <w:sz w:val="11"/>
                <w:szCs w:val="11"/>
                <w:color w:val="auto"/>
              </w:rPr>
            </w:pP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Plan</w:t>
            </w:r>
          </w:p>
        </w:tc>
        <w:tc>
          <w:tcPr>
            <w:tcW w:w="58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76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92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Plan Awards:</w:t>
            </w:r>
          </w:p>
        </w:tc>
        <w:tc>
          <w:tcPr>
            <w:tcW w:w="1080" w:type="dxa"/>
            <w:vAlign w:val="bottom"/>
            <w:shd w:val="clear" w:color="auto" w:fill="C43776"/>
          </w:tcPr>
          <w:p>
            <w:pPr>
              <w:jc w:val="right"/>
              <w:ind w:right="78"/>
              <w:spacing w:after="0" w:line="135" w:lineRule="exact"/>
              <w:rPr>
                <w:sz w:val="20"/>
                <w:szCs w:val="20"/>
                <w:color w:val="auto"/>
              </w:rPr>
            </w:pPr>
            <w:r>
              <w:rPr>
                <w:rFonts w:ascii="Arial" w:cs="Arial" w:eastAsia="Arial" w:hAnsi="Arial"/>
                <w:sz w:val="12"/>
                <w:szCs w:val="12"/>
                <w:b w:val="1"/>
                <w:bCs w:val="1"/>
                <w:color w:val="FFFFFF"/>
              </w:rPr>
              <w:t>Plan Awards:</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spacing w:after="0"/>
              <w:rPr>
                <w:sz w:val="11"/>
                <w:szCs w:val="11"/>
                <w:color w:val="auto"/>
              </w:rPr>
            </w:pPr>
          </w:p>
        </w:tc>
        <w:tc>
          <w:tcPr>
            <w:tcW w:w="1000" w:type="dxa"/>
            <w:vAlign w:val="bottom"/>
            <w:shd w:val="clear" w:color="auto" w:fill="C43776"/>
          </w:tcPr>
          <w:p>
            <w:pPr>
              <w:spacing w:after="0"/>
              <w:rPr>
                <w:sz w:val="11"/>
                <w:szCs w:val="11"/>
                <w:color w:val="auto"/>
              </w:rPr>
            </w:pP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Awards:</w:t>
            </w:r>
          </w:p>
        </w:tc>
        <w:tc>
          <w:tcPr>
            <w:tcW w:w="58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76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Number</w:t>
            </w:r>
          </w:p>
        </w:tc>
        <w:tc>
          <w:tcPr>
            <w:tcW w:w="7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Market</w:t>
            </w:r>
          </w:p>
        </w:tc>
        <w:tc>
          <w:tcPr>
            <w:tcW w:w="92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1080" w:type="dxa"/>
            <w:vAlign w:val="bottom"/>
            <w:shd w:val="clear" w:color="auto" w:fill="C43776"/>
          </w:tcPr>
          <w:p>
            <w:pPr>
              <w:jc w:val="right"/>
              <w:ind w:right="78"/>
              <w:spacing w:after="0" w:line="135" w:lineRule="exact"/>
              <w:rPr>
                <w:sz w:val="20"/>
                <w:szCs w:val="20"/>
                <w:color w:val="auto"/>
              </w:rPr>
            </w:pPr>
            <w:r>
              <w:rPr>
                <w:rFonts w:ascii="Arial" w:cs="Arial" w:eastAsia="Arial" w:hAnsi="Arial"/>
                <w:sz w:val="12"/>
                <w:szCs w:val="12"/>
                <w:b w:val="1"/>
                <w:bCs w:val="1"/>
                <w:color w:val="FFFFFF"/>
              </w:rPr>
              <w:t>Market or</w:t>
            </w:r>
          </w:p>
        </w:tc>
      </w:tr>
      <w:tr>
        <w:trPr>
          <w:trHeight w:val="148"/>
        </w:trPr>
        <w:tc>
          <w:tcPr>
            <w:tcW w:w="740" w:type="dxa"/>
            <w:vAlign w:val="bottom"/>
            <w:shd w:val="clear" w:color="auto" w:fill="C43776"/>
          </w:tcPr>
          <w:p>
            <w:pPr>
              <w:spacing w:after="0"/>
              <w:rPr>
                <w:sz w:val="12"/>
                <w:szCs w:val="12"/>
                <w:color w:val="auto"/>
              </w:rPr>
            </w:pPr>
          </w:p>
        </w:tc>
        <w:tc>
          <w:tcPr>
            <w:tcW w:w="8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Number of</w:t>
            </w:r>
          </w:p>
        </w:tc>
        <w:tc>
          <w:tcPr>
            <w:tcW w:w="10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Number of</w:t>
            </w: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Number of</w:t>
            </w:r>
          </w:p>
        </w:tc>
        <w:tc>
          <w:tcPr>
            <w:tcW w:w="580" w:type="dxa"/>
            <w:vAlign w:val="bottom"/>
            <w:shd w:val="clear" w:color="auto" w:fill="C43776"/>
          </w:tcPr>
          <w:p>
            <w:pPr>
              <w:spacing w:after="0"/>
              <w:rPr>
                <w:sz w:val="12"/>
                <w:szCs w:val="12"/>
                <w:color w:val="auto"/>
              </w:rPr>
            </w:pPr>
          </w:p>
        </w:tc>
        <w:tc>
          <w:tcPr>
            <w:tcW w:w="740" w:type="dxa"/>
            <w:vAlign w:val="bottom"/>
            <w:shd w:val="clear" w:color="auto" w:fill="C43776"/>
          </w:tcPr>
          <w:p>
            <w:pPr>
              <w:spacing w:after="0"/>
              <w:rPr>
                <w:sz w:val="12"/>
                <w:szCs w:val="12"/>
                <w:color w:val="auto"/>
              </w:rPr>
            </w:pPr>
          </w:p>
        </w:tc>
        <w:tc>
          <w:tcPr>
            <w:tcW w:w="76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of Shares</w:t>
            </w:r>
          </w:p>
        </w:tc>
        <w:tc>
          <w:tcPr>
            <w:tcW w:w="7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Value of</w:t>
            </w:r>
          </w:p>
        </w:tc>
        <w:tc>
          <w:tcPr>
            <w:tcW w:w="92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Unearned</w:t>
            </w:r>
          </w:p>
        </w:tc>
        <w:tc>
          <w:tcPr>
            <w:tcW w:w="1080" w:type="dxa"/>
            <w:vAlign w:val="bottom"/>
            <w:shd w:val="clear" w:color="auto" w:fill="C43776"/>
          </w:tcPr>
          <w:p>
            <w:pPr>
              <w:jc w:val="right"/>
              <w:ind w:right="78"/>
              <w:spacing w:after="0"/>
              <w:rPr>
                <w:sz w:val="20"/>
                <w:szCs w:val="20"/>
                <w:color w:val="auto"/>
              </w:rPr>
            </w:pPr>
            <w:r>
              <w:rPr>
                <w:rFonts w:ascii="Arial" w:cs="Arial" w:eastAsia="Arial" w:hAnsi="Arial"/>
                <w:sz w:val="12"/>
                <w:szCs w:val="12"/>
                <w:b w:val="1"/>
                <w:bCs w:val="1"/>
                <w:color w:val="FFFFFF"/>
              </w:rPr>
              <w:t>Payout Value</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10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580" w:type="dxa"/>
            <w:vAlign w:val="bottom"/>
            <w:shd w:val="clear" w:color="auto" w:fill="C43776"/>
          </w:tcPr>
          <w:p>
            <w:pPr>
              <w:spacing w:after="0"/>
              <w:rPr>
                <w:sz w:val="11"/>
                <w:szCs w:val="11"/>
                <w:color w:val="auto"/>
              </w:rPr>
            </w:pPr>
          </w:p>
        </w:tc>
        <w:tc>
          <w:tcPr>
            <w:tcW w:w="740" w:type="dxa"/>
            <w:vAlign w:val="bottom"/>
            <w:shd w:val="clear" w:color="auto" w:fill="C43776"/>
          </w:tcPr>
          <w:p>
            <w:pPr>
              <w:spacing w:after="0"/>
              <w:rPr>
                <w:sz w:val="11"/>
                <w:szCs w:val="11"/>
                <w:color w:val="auto"/>
              </w:rPr>
            </w:pPr>
          </w:p>
        </w:tc>
        <w:tc>
          <w:tcPr>
            <w:tcW w:w="76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or Units</w:t>
            </w:r>
          </w:p>
        </w:tc>
        <w:tc>
          <w:tcPr>
            <w:tcW w:w="7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Shares or</w:t>
            </w:r>
          </w:p>
        </w:tc>
        <w:tc>
          <w:tcPr>
            <w:tcW w:w="92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Shares, Units</w:t>
            </w:r>
          </w:p>
        </w:tc>
        <w:tc>
          <w:tcPr>
            <w:tcW w:w="1080" w:type="dxa"/>
            <w:vAlign w:val="bottom"/>
            <w:shd w:val="clear" w:color="auto" w:fill="C43776"/>
          </w:tcPr>
          <w:p>
            <w:pPr>
              <w:jc w:val="right"/>
              <w:ind w:right="78"/>
              <w:spacing w:after="0" w:line="135" w:lineRule="exact"/>
              <w:rPr>
                <w:sz w:val="20"/>
                <w:szCs w:val="20"/>
                <w:color w:val="auto"/>
              </w:rPr>
            </w:pPr>
            <w:r>
              <w:rPr>
                <w:rFonts w:ascii="Arial" w:cs="Arial" w:eastAsia="Arial" w:hAnsi="Arial"/>
                <w:sz w:val="12"/>
                <w:szCs w:val="12"/>
                <w:b w:val="1"/>
                <w:bCs w:val="1"/>
                <w:color w:val="FFFFFF"/>
              </w:rPr>
              <w:t>of Unearned</w:t>
            </w:r>
          </w:p>
        </w:tc>
      </w:tr>
      <w:tr>
        <w:trPr>
          <w:trHeight w:val="149"/>
        </w:trPr>
        <w:tc>
          <w:tcPr>
            <w:tcW w:w="740" w:type="dxa"/>
            <w:vAlign w:val="bottom"/>
            <w:shd w:val="clear" w:color="auto" w:fill="C43776"/>
          </w:tcPr>
          <w:p>
            <w:pPr>
              <w:spacing w:after="0"/>
              <w:rPr>
                <w:sz w:val="12"/>
                <w:szCs w:val="12"/>
                <w:color w:val="auto"/>
              </w:rPr>
            </w:pPr>
          </w:p>
        </w:tc>
        <w:tc>
          <w:tcPr>
            <w:tcW w:w="8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Underlying</w:t>
            </w:r>
          </w:p>
        </w:tc>
        <w:tc>
          <w:tcPr>
            <w:tcW w:w="10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Underlying</w:t>
            </w: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Underlying</w:t>
            </w:r>
          </w:p>
        </w:tc>
        <w:tc>
          <w:tcPr>
            <w:tcW w:w="580" w:type="dxa"/>
            <w:vAlign w:val="bottom"/>
            <w:shd w:val="clear" w:color="auto" w:fill="C43776"/>
          </w:tcPr>
          <w:p>
            <w:pPr>
              <w:spacing w:after="0"/>
              <w:rPr>
                <w:sz w:val="12"/>
                <w:szCs w:val="12"/>
                <w:color w:val="auto"/>
              </w:rPr>
            </w:pPr>
          </w:p>
        </w:tc>
        <w:tc>
          <w:tcPr>
            <w:tcW w:w="740" w:type="dxa"/>
            <w:vAlign w:val="bottom"/>
            <w:shd w:val="clear" w:color="auto" w:fill="C43776"/>
          </w:tcPr>
          <w:p>
            <w:pPr>
              <w:spacing w:after="0"/>
              <w:rPr>
                <w:sz w:val="12"/>
                <w:szCs w:val="12"/>
                <w:color w:val="auto"/>
              </w:rPr>
            </w:pPr>
          </w:p>
        </w:tc>
        <w:tc>
          <w:tcPr>
            <w:tcW w:w="76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of Stock</w:t>
            </w:r>
          </w:p>
        </w:tc>
        <w:tc>
          <w:tcPr>
            <w:tcW w:w="7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Units of</w:t>
            </w:r>
          </w:p>
        </w:tc>
        <w:tc>
          <w:tcPr>
            <w:tcW w:w="92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or Other</w:t>
            </w:r>
          </w:p>
        </w:tc>
        <w:tc>
          <w:tcPr>
            <w:tcW w:w="1080" w:type="dxa"/>
            <w:vAlign w:val="bottom"/>
            <w:shd w:val="clear" w:color="auto" w:fill="C43776"/>
          </w:tcPr>
          <w:p>
            <w:pPr>
              <w:jc w:val="right"/>
              <w:ind w:right="78"/>
              <w:spacing w:after="0"/>
              <w:rPr>
                <w:sz w:val="20"/>
                <w:szCs w:val="20"/>
                <w:color w:val="auto"/>
              </w:rPr>
            </w:pPr>
            <w:r>
              <w:rPr>
                <w:rFonts w:ascii="Arial" w:cs="Arial" w:eastAsia="Arial" w:hAnsi="Arial"/>
                <w:sz w:val="12"/>
                <w:szCs w:val="12"/>
                <w:b w:val="1"/>
                <w:bCs w:val="1"/>
                <w:color w:val="FFFFFF"/>
              </w:rPr>
              <w:t>Shares, Units</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Unexercised</w:t>
            </w:r>
          </w:p>
        </w:tc>
        <w:tc>
          <w:tcPr>
            <w:tcW w:w="10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Unexercised</w:t>
            </w: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Unexercised</w:t>
            </w:r>
          </w:p>
        </w:tc>
        <w:tc>
          <w:tcPr>
            <w:tcW w:w="5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Option</w:t>
            </w:r>
          </w:p>
        </w:tc>
        <w:tc>
          <w:tcPr>
            <w:tcW w:w="740" w:type="dxa"/>
            <w:vAlign w:val="bottom"/>
            <w:shd w:val="clear" w:color="auto" w:fill="C43776"/>
          </w:tcPr>
          <w:p>
            <w:pPr>
              <w:spacing w:after="0"/>
              <w:rPr>
                <w:sz w:val="11"/>
                <w:szCs w:val="11"/>
                <w:color w:val="auto"/>
              </w:rPr>
            </w:pPr>
          </w:p>
        </w:tc>
        <w:tc>
          <w:tcPr>
            <w:tcW w:w="76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that</w:t>
            </w:r>
          </w:p>
        </w:tc>
        <w:tc>
          <w:tcPr>
            <w:tcW w:w="7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Stock that</w:t>
            </w:r>
          </w:p>
        </w:tc>
        <w:tc>
          <w:tcPr>
            <w:tcW w:w="92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Rights that</w:t>
            </w:r>
          </w:p>
        </w:tc>
        <w:tc>
          <w:tcPr>
            <w:tcW w:w="1080" w:type="dxa"/>
            <w:vAlign w:val="bottom"/>
            <w:shd w:val="clear" w:color="auto" w:fill="C43776"/>
          </w:tcPr>
          <w:p>
            <w:pPr>
              <w:jc w:val="right"/>
              <w:ind w:right="78"/>
              <w:spacing w:after="0" w:line="135" w:lineRule="exact"/>
              <w:rPr>
                <w:sz w:val="20"/>
                <w:szCs w:val="20"/>
                <w:color w:val="auto"/>
              </w:rPr>
            </w:pPr>
            <w:r>
              <w:rPr>
                <w:rFonts w:ascii="Arial" w:cs="Arial" w:eastAsia="Arial" w:hAnsi="Arial"/>
                <w:sz w:val="12"/>
                <w:szCs w:val="12"/>
                <w:b w:val="1"/>
                <w:bCs w:val="1"/>
                <w:color w:val="FFFFFF"/>
              </w:rPr>
              <w:t>or Other Rights</w:t>
            </w:r>
          </w:p>
        </w:tc>
      </w:tr>
      <w:tr>
        <w:trPr>
          <w:trHeight w:val="135"/>
        </w:trPr>
        <w:tc>
          <w:tcPr>
            <w:tcW w:w="740" w:type="dxa"/>
            <w:vAlign w:val="bottom"/>
            <w:shd w:val="clear" w:color="auto" w:fill="C43776"/>
          </w:tcPr>
          <w:p>
            <w:pPr>
              <w:spacing w:after="0"/>
              <w:rPr>
                <w:sz w:val="11"/>
                <w:szCs w:val="11"/>
                <w:color w:val="auto"/>
              </w:rPr>
            </w:pPr>
          </w:p>
        </w:tc>
        <w:tc>
          <w:tcPr>
            <w:tcW w:w="8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100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7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Unearned</w:t>
            </w:r>
          </w:p>
        </w:tc>
        <w:tc>
          <w:tcPr>
            <w:tcW w:w="58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Exercise</w:t>
            </w:r>
          </w:p>
        </w:tc>
        <w:tc>
          <w:tcPr>
            <w:tcW w:w="740" w:type="dxa"/>
            <w:vAlign w:val="bottom"/>
            <w:shd w:val="clear" w:color="auto" w:fill="C43776"/>
          </w:tcPr>
          <w:p>
            <w:pPr>
              <w:ind w:left="320"/>
              <w:spacing w:after="0" w:line="135" w:lineRule="exact"/>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Have Not</w:t>
            </w:r>
          </w:p>
        </w:tc>
        <w:tc>
          <w:tcPr>
            <w:tcW w:w="74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Have Not</w:t>
            </w:r>
          </w:p>
        </w:tc>
        <w:tc>
          <w:tcPr>
            <w:tcW w:w="920" w:type="dxa"/>
            <w:vAlign w:val="bottom"/>
            <w:shd w:val="clear" w:color="auto" w:fill="C43776"/>
          </w:tcPr>
          <w:p>
            <w:pPr>
              <w:jc w:val="right"/>
              <w:spacing w:after="0" w:line="135" w:lineRule="exact"/>
              <w:rPr>
                <w:sz w:val="20"/>
                <w:szCs w:val="20"/>
                <w:color w:val="auto"/>
              </w:rPr>
            </w:pPr>
            <w:r>
              <w:rPr>
                <w:rFonts w:ascii="Arial" w:cs="Arial" w:eastAsia="Arial" w:hAnsi="Arial"/>
                <w:sz w:val="12"/>
                <w:szCs w:val="12"/>
                <w:b w:val="1"/>
                <w:bCs w:val="1"/>
                <w:color w:val="FFFFFF"/>
              </w:rPr>
              <w:t>Have Not</w:t>
            </w:r>
          </w:p>
        </w:tc>
        <w:tc>
          <w:tcPr>
            <w:tcW w:w="1080" w:type="dxa"/>
            <w:vAlign w:val="bottom"/>
            <w:shd w:val="clear" w:color="auto" w:fill="C43776"/>
          </w:tcPr>
          <w:p>
            <w:pPr>
              <w:jc w:val="right"/>
              <w:ind w:right="78"/>
              <w:spacing w:after="0" w:line="135" w:lineRule="exact"/>
              <w:rPr>
                <w:sz w:val="20"/>
                <w:szCs w:val="20"/>
                <w:color w:val="auto"/>
              </w:rPr>
            </w:pPr>
            <w:r>
              <w:rPr>
                <w:rFonts w:ascii="Arial" w:cs="Arial" w:eastAsia="Arial" w:hAnsi="Arial"/>
                <w:sz w:val="12"/>
                <w:szCs w:val="12"/>
                <w:b w:val="1"/>
                <w:bCs w:val="1"/>
                <w:color w:val="FFFFFF"/>
              </w:rPr>
              <w:t>that Have Not</w:t>
            </w:r>
          </w:p>
        </w:tc>
      </w:tr>
      <w:tr>
        <w:trPr>
          <w:trHeight w:val="148"/>
        </w:trPr>
        <w:tc>
          <w:tcPr>
            <w:tcW w:w="740" w:type="dxa"/>
            <w:vAlign w:val="bottom"/>
            <w:shd w:val="clear" w:color="auto" w:fill="C43776"/>
          </w:tcPr>
          <w:p>
            <w:pPr>
              <w:ind w:left="200"/>
              <w:spacing w:after="0"/>
              <w:rPr>
                <w:sz w:val="20"/>
                <w:szCs w:val="20"/>
                <w:color w:val="auto"/>
              </w:rPr>
            </w:pPr>
            <w:r>
              <w:rPr>
                <w:rFonts w:ascii="Arial" w:cs="Arial" w:eastAsia="Arial" w:hAnsi="Arial"/>
                <w:sz w:val="12"/>
                <w:szCs w:val="12"/>
                <w:b w:val="1"/>
                <w:bCs w:val="1"/>
                <w:color w:val="FFFFFF"/>
              </w:rPr>
              <w:t>Grant</w:t>
            </w:r>
          </w:p>
        </w:tc>
        <w:tc>
          <w:tcPr>
            <w:tcW w:w="840" w:type="dxa"/>
            <w:vAlign w:val="bottom"/>
            <w:shd w:val="clear" w:color="auto" w:fill="C43776"/>
          </w:tcPr>
          <w:p>
            <w:pPr>
              <w:jc w:val="right"/>
              <w:spacing w:after="0" w:line="149" w:lineRule="exact"/>
              <w:rPr>
                <w:sz w:val="20"/>
                <w:szCs w:val="20"/>
                <w:color w:val="auto"/>
              </w:rPr>
            </w:pPr>
            <w:r>
              <w:rPr>
                <w:rFonts w:ascii="Arial" w:cs="Arial" w:eastAsia="Arial" w:hAnsi="Arial"/>
                <w:sz w:val="12"/>
                <w:szCs w:val="12"/>
                <w:b w:val="1"/>
                <w:bCs w:val="1"/>
                <w:color w:val="FFFFFF"/>
                <w:w w:val="98"/>
              </w:rPr>
              <w:t>Exercisable</w:t>
            </w:r>
            <w:r>
              <w:rPr>
                <w:rFonts w:ascii="Arial" w:cs="Arial" w:eastAsia="Arial" w:hAnsi="Arial"/>
                <w:sz w:val="15"/>
                <w:szCs w:val="15"/>
                <w:b w:val="1"/>
                <w:bCs w:val="1"/>
                <w:color w:val="FFFFFF"/>
                <w:w w:val="98"/>
                <w:vertAlign w:val="superscript"/>
              </w:rPr>
              <w:t>(1)</w:t>
            </w:r>
          </w:p>
        </w:tc>
        <w:tc>
          <w:tcPr>
            <w:tcW w:w="1000" w:type="dxa"/>
            <w:vAlign w:val="bottom"/>
            <w:shd w:val="clear" w:color="auto" w:fill="C43776"/>
          </w:tcPr>
          <w:p>
            <w:pPr>
              <w:jc w:val="right"/>
              <w:spacing w:after="0" w:line="149" w:lineRule="exact"/>
              <w:rPr>
                <w:sz w:val="20"/>
                <w:szCs w:val="20"/>
                <w:color w:val="auto"/>
              </w:rPr>
            </w:pPr>
            <w:r>
              <w:rPr>
                <w:rFonts w:ascii="Arial" w:cs="Arial" w:eastAsia="Arial" w:hAnsi="Arial"/>
                <w:sz w:val="12"/>
                <w:szCs w:val="12"/>
                <w:b w:val="1"/>
                <w:bCs w:val="1"/>
                <w:color w:val="FFFFFF"/>
                <w:w w:val="98"/>
              </w:rPr>
              <w:t>Unexercisable</w:t>
            </w:r>
            <w:r>
              <w:rPr>
                <w:rFonts w:ascii="Arial" w:cs="Arial" w:eastAsia="Arial" w:hAnsi="Arial"/>
                <w:sz w:val="15"/>
                <w:szCs w:val="15"/>
                <w:b w:val="1"/>
                <w:bCs w:val="1"/>
                <w:color w:val="FFFFFF"/>
                <w:w w:val="98"/>
                <w:vertAlign w:val="superscript"/>
              </w:rPr>
              <w:t>(1)</w:t>
            </w:r>
          </w:p>
        </w:tc>
        <w:tc>
          <w:tcPr>
            <w:tcW w:w="780" w:type="dxa"/>
            <w:vAlign w:val="bottom"/>
            <w:shd w:val="clear" w:color="auto" w:fill="C43776"/>
          </w:tcPr>
          <w:p>
            <w:pPr>
              <w:jc w:val="right"/>
              <w:spacing w:after="0" w:line="149" w:lineRule="exact"/>
              <w:rPr>
                <w:sz w:val="20"/>
                <w:szCs w:val="20"/>
                <w:color w:val="auto"/>
              </w:rPr>
            </w:pPr>
            <w:r>
              <w:rPr>
                <w:rFonts w:ascii="Arial" w:cs="Arial" w:eastAsia="Arial" w:hAnsi="Arial"/>
                <w:sz w:val="12"/>
                <w:szCs w:val="12"/>
                <w:b w:val="1"/>
                <w:bCs w:val="1"/>
                <w:color w:val="FFFFFF"/>
              </w:rPr>
              <w:t>Options</w:t>
            </w:r>
            <w:r>
              <w:rPr>
                <w:rFonts w:ascii="Arial" w:cs="Arial" w:eastAsia="Arial" w:hAnsi="Arial"/>
                <w:sz w:val="15"/>
                <w:szCs w:val="15"/>
                <w:b w:val="1"/>
                <w:bCs w:val="1"/>
                <w:color w:val="FFFFFF"/>
                <w:vertAlign w:val="superscript"/>
              </w:rPr>
              <w:t>(2)</w:t>
            </w:r>
          </w:p>
        </w:tc>
        <w:tc>
          <w:tcPr>
            <w:tcW w:w="5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Price</w:t>
            </w:r>
          </w:p>
        </w:tc>
        <w:tc>
          <w:tcPr>
            <w:tcW w:w="7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Expiration</w:t>
            </w:r>
          </w:p>
        </w:tc>
        <w:tc>
          <w:tcPr>
            <w:tcW w:w="76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Vested</w:t>
            </w:r>
          </w:p>
        </w:tc>
        <w:tc>
          <w:tcPr>
            <w:tcW w:w="740" w:type="dxa"/>
            <w:vAlign w:val="bottom"/>
            <w:shd w:val="clear" w:color="auto" w:fill="C43776"/>
          </w:tcPr>
          <w:p>
            <w:pPr>
              <w:jc w:val="right"/>
              <w:spacing w:after="0" w:line="149"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5"/>
                <w:szCs w:val="15"/>
                <w:b w:val="1"/>
                <w:bCs w:val="1"/>
                <w:color w:val="FFFFFF"/>
                <w:vertAlign w:val="superscript"/>
              </w:rPr>
              <w:t>(3)</w:t>
            </w:r>
          </w:p>
        </w:tc>
        <w:tc>
          <w:tcPr>
            <w:tcW w:w="92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Vested</w:t>
            </w:r>
          </w:p>
        </w:tc>
        <w:tc>
          <w:tcPr>
            <w:tcW w:w="1080" w:type="dxa"/>
            <w:vAlign w:val="bottom"/>
            <w:shd w:val="clear" w:color="auto" w:fill="C43776"/>
          </w:tcPr>
          <w:p>
            <w:pPr>
              <w:jc w:val="right"/>
              <w:ind w:right="78"/>
              <w:spacing w:after="0" w:line="149"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5"/>
                <w:szCs w:val="15"/>
                <w:b w:val="1"/>
                <w:bCs w:val="1"/>
                <w:color w:val="FFFFFF"/>
                <w:vertAlign w:val="superscript"/>
              </w:rPr>
              <w:t>(3)</w:t>
            </w:r>
          </w:p>
        </w:tc>
      </w:tr>
      <w:tr>
        <w:trPr>
          <w:trHeight w:val="158"/>
        </w:trPr>
        <w:tc>
          <w:tcPr>
            <w:tcW w:w="740" w:type="dxa"/>
            <w:vAlign w:val="bottom"/>
            <w:shd w:val="clear" w:color="auto" w:fill="C43776"/>
          </w:tcPr>
          <w:p>
            <w:pPr>
              <w:ind w:left="240"/>
              <w:spacing w:after="0"/>
              <w:rPr>
                <w:sz w:val="20"/>
                <w:szCs w:val="20"/>
                <w:color w:val="auto"/>
              </w:rPr>
            </w:pPr>
            <w:r>
              <w:rPr>
                <w:rFonts w:ascii="Arial" w:cs="Arial" w:eastAsia="Arial" w:hAnsi="Arial"/>
                <w:sz w:val="12"/>
                <w:szCs w:val="12"/>
                <w:b w:val="1"/>
                <w:bCs w:val="1"/>
                <w:color w:val="FFFFFF"/>
              </w:rPr>
              <w:t>Date</w:t>
            </w:r>
          </w:p>
        </w:tc>
        <w:tc>
          <w:tcPr>
            <w:tcW w:w="8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100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58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Date</w:t>
            </w:r>
          </w:p>
        </w:tc>
        <w:tc>
          <w:tcPr>
            <w:tcW w:w="760" w:type="dxa"/>
            <w:vAlign w:val="bottom"/>
            <w:shd w:val="clear" w:color="auto" w:fill="C43776"/>
          </w:tcPr>
          <w:p>
            <w:pPr>
              <w:jc w:val="center"/>
              <w:ind w:left="438"/>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C43776"/>
          </w:tcPr>
          <w:p>
            <w:pPr>
              <w:jc w:val="right"/>
              <w:spacing w:after="0"/>
              <w:rPr>
                <w:sz w:val="20"/>
                <w:szCs w:val="20"/>
                <w:color w:val="auto"/>
              </w:rPr>
            </w:pPr>
            <w:r>
              <w:rPr>
                <w:rFonts w:ascii="Arial" w:cs="Arial" w:eastAsia="Arial" w:hAnsi="Arial"/>
                <w:sz w:val="12"/>
                <w:szCs w:val="12"/>
                <w:b w:val="1"/>
                <w:bCs w:val="1"/>
                <w:color w:val="FFFFFF"/>
              </w:rPr>
              <w:t>($)</w:t>
            </w:r>
          </w:p>
        </w:tc>
        <w:tc>
          <w:tcPr>
            <w:tcW w:w="920" w:type="dxa"/>
            <w:vAlign w:val="bottom"/>
            <w:shd w:val="clear" w:color="auto" w:fill="C43776"/>
          </w:tcPr>
          <w:p>
            <w:pPr>
              <w:jc w:val="center"/>
              <w:ind w:left="639"/>
              <w:spacing w:after="0"/>
              <w:rPr>
                <w:sz w:val="20"/>
                <w:szCs w:val="20"/>
                <w:color w:val="auto"/>
              </w:rPr>
            </w:pPr>
            <w:r>
              <w:rPr>
                <w:rFonts w:ascii="Arial" w:cs="Arial" w:eastAsia="Arial" w:hAnsi="Arial"/>
                <w:sz w:val="12"/>
                <w:szCs w:val="12"/>
                <w:b w:val="1"/>
                <w:bCs w:val="1"/>
                <w:color w:val="FFFFFF"/>
                <w:w w:val="95"/>
              </w:rPr>
              <w:t>(#)</w:t>
            </w:r>
          </w:p>
        </w:tc>
        <w:tc>
          <w:tcPr>
            <w:tcW w:w="1080" w:type="dxa"/>
            <w:vAlign w:val="bottom"/>
            <w:shd w:val="clear" w:color="auto" w:fill="C43776"/>
          </w:tcPr>
          <w:p>
            <w:pPr>
              <w:jc w:val="right"/>
              <w:ind w:right="78"/>
              <w:spacing w:after="0"/>
              <w:rPr>
                <w:sz w:val="20"/>
                <w:szCs w:val="20"/>
                <w:color w:val="auto"/>
              </w:rPr>
            </w:pPr>
            <w:r>
              <w:rPr>
                <w:rFonts w:ascii="Arial" w:cs="Arial" w:eastAsia="Arial" w:hAnsi="Arial"/>
                <w:sz w:val="12"/>
                <w:szCs w:val="12"/>
                <w:b w:val="1"/>
                <w:bCs w:val="1"/>
                <w:color w:val="FFFFFF"/>
              </w:rPr>
              <w:t>($)</w:t>
            </w:r>
          </w:p>
        </w:tc>
      </w:tr>
      <w:tr>
        <w:trPr>
          <w:trHeight w:val="94"/>
        </w:trPr>
        <w:tc>
          <w:tcPr>
            <w:tcW w:w="74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c>
          <w:tcPr>
            <w:tcW w:w="1000" w:type="dxa"/>
            <w:vAlign w:val="bottom"/>
            <w:shd w:val="clear" w:color="auto" w:fill="C43776"/>
          </w:tcPr>
          <w:p>
            <w:pPr>
              <w:spacing w:after="0"/>
              <w:rPr>
                <w:sz w:val="8"/>
                <w:szCs w:val="8"/>
                <w:color w:val="auto"/>
              </w:rPr>
            </w:pPr>
          </w:p>
        </w:tc>
        <w:tc>
          <w:tcPr>
            <w:tcW w:w="780" w:type="dxa"/>
            <w:vAlign w:val="bottom"/>
            <w:shd w:val="clear" w:color="auto" w:fill="C43776"/>
          </w:tcPr>
          <w:p>
            <w:pPr>
              <w:spacing w:after="0"/>
              <w:rPr>
                <w:sz w:val="8"/>
                <w:szCs w:val="8"/>
                <w:color w:val="auto"/>
              </w:rPr>
            </w:pPr>
          </w:p>
        </w:tc>
        <w:tc>
          <w:tcPr>
            <w:tcW w:w="580" w:type="dxa"/>
            <w:vAlign w:val="bottom"/>
            <w:shd w:val="clear" w:color="auto" w:fill="C43776"/>
          </w:tcPr>
          <w:p>
            <w:pPr>
              <w:spacing w:after="0"/>
              <w:rPr>
                <w:sz w:val="8"/>
                <w:szCs w:val="8"/>
                <w:color w:val="auto"/>
              </w:rPr>
            </w:pPr>
          </w:p>
        </w:tc>
        <w:tc>
          <w:tcPr>
            <w:tcW w:w="740" w:type="dxa"/>
            <w:vAlign w:val="bottom"/>
            <w:shd w:val="clear" w:color="auto" w:fill="C43776"/>
          </w:tcPr>
          <w:p>
            <w:pPr>
              <w:spacing w:after="0"/>
              <w:rPr>
                <w:sz w:val="8"/>
                <w:szCs w:val="8"/>
                <w:color w:val="auto"/>
              </w:rPr>
            </w:pPr>
          </w:p>
        </w:tc>
        <w:tc>
          <w:tcPr>
            <w:tcW w:w="760" w:type="dxa"/>
            <w:vAlign w:val="bottom"/>
            <w:shd w:val="clear" w:color="auto" w:fill="C43776"/>
          </w:tcPr>
          <w:p>
            <w:pPr>
              <w:spacing w:after="0"/>
              <w:rPr>
                <w:sz w:val="8"/>
                <w:szCs w:val="8"/>
                <w:color w:val="auto"/>
              </w:rPr>
            </w:pPr>
          </w:p>
        </w:tc>
        <w:tc>
          <w:tcPr>
            <w:tcW w:w="740" w:type="dxa"/>
            <w:vAlign w:val="bottom"/>
            <w:shd w:val="clear" w:color="auto" w:fill="C43776"/>
          </w:tcPr>
          <w:p>
            <w:pPr>
              <w:spacing w:after="0"/>
              <w:rPr>
                <w:sz w:val="8"/>
                <w:szCs w:val="8"/>
                <w:color w:val="auto"/>
              </w:rPr>
            </w:pPr>
          </w:p>
        </w:tc>
        <w:tc>
          <w:tcPr>
            <w:tcW w:w="920" w:type="dxa"/>
            <w:vAlign w:val="bottom"/>
            <w:shd w:val="clear" w:color="auto" w:fill="C43776"/>
          </w:tcPr>
          <w:p>
            <w:pPr>
              <w:spacing w:after="0"/>
              <w:rPr>
                <w:sz w:val="8"/>
                <w:szCs w:val="8"/>
                <w:color w:val="auto"/>
              </w:rPr>
            </w:pPr>
          </w:p>
        </w:tc>
        <w:tc>
          <w:tcPr>
            <w:tcW w:w="1080" w:type="dxa"/>
            <w:vAlign w:val="bottom"/>
            <w:shd w:val="clear" w:color="auto" w:fill="C43776"/>
          </w:tcPr>
          <w:p>
            <w:pPr>
              <w:spacing w:after="0"/>
              <w:rPr>
                <w:sz w:val="8"/>
                <w:szCs w:val="8"/>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3"/>
                <w:szCs w:val="13"/>
                <w:color w:val="auto"/>
                <w:w w:val="96"/>
              </w:rPr>
              <w:t>2/27/2019</w:t>
            </w:r>
          </w:p>
        </w:tc>
        <w:tc>
          <w:tcPr>
            <w:tcW w:w="840" w:type="dxa"/>
            <w:vAlign w:val="bottom"/>
          </w:tcPr>
          <w:p>
            <w:pPr>
              <w:jc w:val="right"/>
              <w:spacing w:after="0"/>
              <w:rPr>
                <w:sz w:val="20"/>
                <w:szCs w:val="20"/>
                <w:color w:val="auto"/>
              </w:rPr>
            </w:pPr>
            <w:r>
              <w:rPr>
                <w:rFonts w:ascii="Arial" w:cs="Arial" w:eastAsia="Arial" w:hAnsi="Arial"/>
                <w:sz w:val="13"/>
                <w:szCs w:val="13"/>
                <w:color w:val="auto"/>
              </w:rPr>
              <w:t>20,000</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231.70</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2/27/2029</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3/27/2020</w:t>
            </w:r>
          </w:p>
        </w:tc>
        <w:tc>
          <w:tcPr>
            <w:tcW w:w="840" w:type="dxa"/>
            <w:vAlign w:val="bottom"/>
          </w:tcPr>
          <w:p>
            <w:pPr>
              <w:jc w:val="right"/>
              <w:spacing w:after="0"/>
              <w:rPr>
                <w:sz w:val="20"/>
                <w:szCs w:val="20"/>
                <w:color w:val="auto"/>
              </w:rPr>
            </w:pPr>
            <w:r>
              <w:rPr>
                <w:rFonts w:ascii="Arial" w:cs="Arial" w:eastAsia="Arial" w:hAnsi="Arial"/>
                <w:sz w:val="13"/>
                <w:szCs w:val="13"/>
                <w:color w:val="auto"/>
              </w:rPr>
              <w:t>513</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196.18</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3/27/2030</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1/25/2021</w:t>
            </w:r>
          </w:p>
        </w:tc>
        <w:tc>
          <w:tcPr>
            <w:tcW w:w="840" w:type="dxa"/>
            <w:vAlign w:val="bottom"/>
          </w:tcPr>
          <w:p>
            <w:pPr>
              <w:jc w:val="right"/>
              <w:spacing w:after="0"/>
              <w:rPr>
                <w:sz w:val="20"/>
                <w:szCs w:val="20"/>
                <w:color w:val="auto"/>
              </w:rPr>
            </w:pPr>
            <w:r>
              <w:rPr>
                <w:rFonts w:ascii="Arial" w:cs="Arial" w:eastAsia="Arial" w:hAnsi="Arial"/>
                <w:sz w:val="13"/>
                <w:szCs w:val="13"/>
                <w:color w:val="auto"/>
              </w:rPr>
              <w:t>16,466</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261.07</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1/25/2031</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1/24/2022</w:t>
            </w:r>
          </w:p>
        </w:tc>
        <w:tc>
          <w:tcPr>
            <w:tcW w:w="840" w:type="dxa"/>
            <w:vAlign w:val="bottom"/>
          </w:tcPr>
          <w:p>
            <w:pPr>
              <w:jc w:val="right"/>
              <w:spacing w:after="0"/>
              <w:rPr>
                <w:sz w:val="20"/>
                <w:szCs w:val="20"/>
                <w:color w:val="auto"/>
              </w:rPr>
            </w:pPr>
            <w:r>
              <w:rPr>
                <w:rFonts w:ascii="Arial" w:cs="Arial" w:eastAsia="Arial" w:hAnsi="Arial"/>
                <w:sz w:val="13"/>
                <w:szCs w:val="13"/>
                <w:color w:val="auto"/>
              </w:rPr>
              <w:t>13,764</w:t>
            </w:r>
          </w:p>
        </w:tc>
        <w:tc>
          <w:tcPr>
            <w:tcW w:w="1000" w:type="dxa"/>
            <w:vAlign w:val="bottom"/>
          </w:tcPr>
          <w:p>
            <w:pPr>
              <w:jc w:val="right"/>
              <w:spacing w:after="0"/>
              <w:rPr>
                <w:sz w:val="20"/>
                <w:szCs w:val="20"/>
                <w:color w:val="auto"/>
              </w:rPr>
            </w:pPr>
            <w:r>
              <w:rPr>
                <w:rFonts w:ascii="Arial" w:cs="Arial" w:eastAsia="Arial" w:hAnsi="Arial"/>
                <w:sz w:val="13"/>
                <w:szCs w:val="13"/>
                <w:color w:val="auto"/>
              </w:rPr>
              <w:t>4,588</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225.45</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1/24/2032</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1/24/2022</w:t>
            </w:r>
          </w:p>
        </w:tc>
        <w:tc>
          <w:tcPr>
            <w:tcW w:w="840" w:type="dxa"/>
            <w:vAlign w:val="bottom"/>
          </w:tcPr>
          <w:p>
            <w:pPr>
              <w:jc w:val="right"/>
              <w:spacing w:after="0"/>
              <w:rPr>
                <w:sz w:val="20"/>
                <w:szCs w:val="20"/>
                <w:color w:val="auto"/>
              </w:rPr>
            </w:pPr>
            <w:r>
              <w:rPr>
                <w:rFonts w:ascii="Arial" w:cs="Arial" w:eastAsia="Arial" w:hAnsi="Arial"/>
                <w:sz w:val="13"/>
                <w:szCs w:val="13"/>
                <w:color w:val="auto"/>
              </w:rPr>
              <w:t>13,764</w:t>
            </w:r>
          </w:p>
        </w:tc>
        <w:tc>
          <w:tcPr>
            <w:tcW w:w="1000" w:type="dxa"/>
            <w:vAlign w:val="bottom"/>
          </w:tcPr>
          <w:p>
            <w:pPr>
              <w:jc w:val="right"/>
              <w:spacing w:after="0"/>
              <w:rPr>
                <w:sz w:val="20"/>
                <w:szCs w:val="20"/>
                <w:color w:val="auto"/>
              </w:rPr>
            </w:pPr>
            <w:r>
              <w:rPr>
                <w:rFonts w:ascii="Arial" w:cs="Arial" w:eastAsia="Arial" w:hAnsi="Arial"/>
                <w:sz w:val="13"/>
                <w:szCs w:val="13"/>
                <w:color w:val="auto"/>
              </w:rPr>
              <w:t>4,588</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225.45</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1/24/2032</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1/23/2023</w:t>
            </w:r>
          </w:p>
        </w:tc>
        <w:tc>
          <w:tcPr>
            <w:tcW w:w="840" w:type="dxa"/>
            <w:vAlign w:val="bottom"/>
          </w:tcPr>
          <w:p>
            <w:pPr>
              <w:jc w:val="right"/>
              <w:spacing w:after="0"/>
              <w:rPr>
                <w:sz w:val="20"/>
                <w:szCs w:val="20"/>
                <w:color w:val="auto"/>
              </w:rPr>
            </w:pPr>
            <w:r>
              <w:rPr>
                <w:rFonts w:ascii="Arial" w:cs="Arial" w:eastAsia="Arial" w:hAnsi="Arial"/>
                <w:sz w:val="13"/>
                <w:szCs w:val="13"/>
                <w:color w:val="auto"/>
              </w:rPr>
              <w:t>8,839</w:t>
            </w:r>
          </w:p>
        </w:tc>
        <w:tc>
          <w:tcPr>
            <w:tcW w:w="1000" w:type="dxa"/>
            <w:vAlign w:val="bottom"/>
          </w:tcPr>
          <w:p>
            <w:pPr>
              <w:jc w:val="right"/>
              <w:spacing w:after="0"/>
              <w:rPr>
                <w:sz w:val="20"/>
                <w:szCs w:val="20"/>
                <w:color w:val="auto"/>
              </w:rPr>
            </w:pPr>
            <w:r>
              <w:rPr>
                <w:rFonts w:ascii="Arial" w:cs="Arial" w:eastAsia="Arial" w:hAnsi="Arial"/>
                <w:sz w:val="13"/>
                <w:szCs w:val="13"/>
                <w:color w:val="auto"/>
              </w:rPr>
              <w:t>8,840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200.41</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1/23/2033</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313"/>
        </w:trPr>
        <w:tc>
          <w:tcPr>
            <w:tcW w:w="740" w:type="dxa"/>
            <w:vAlign w:val="bottom"/>
          </w:tcPr>
          <w:p>
            <w:pPr>
              <w:jc w:val="center"/>
              <w:spacing w:after="0"/>
              <w:rPr>
                <w:sz w:val="20"/>
                <w:szCs w:val="20"/>
                <w:color w:val="auto"/>
              </w:rPr>
            </w:pPr>
            <w:r>
              <w:rPr>
                <w:rFonts w:ascii="Arial" w:cs="Arial" w:eastAsia="Arial" w:hAnsi="Arial"/>
                <w:sz w:val="13"/>
                <w:szCs w:val="13"/>
                <w:color w:val="auto"/>
                <w:w w:val="94"/>
              </w:rPr>
              <w:t>3/1/2023</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2,994</w:t>
            </w:r>
            <w:r>
              <w:rPr>
                <w:rFonts w:ascii="Arial" w:cs="Arial" w:eastAsia="Arial" w:hAnsi="Arial"/>
                <w:sz w:val="16"/>
                <w:szCs w:val="16"/>
                <w:color w:val="auto"/>
                <w:vertAlign w:val="superscript"/>
              </w:rPr>
              <w:t>(14)</w:t>
            </w:r>
          </w:p>
        </w:tc>
        <w:tc>
          <w:tcPr>
            <w:tcW w:w="740" w:type="dxa"/>
            <w:vAlign w:val="bottom"/>
          </w:tcPr>
          <w:p>
            <w:pPr>
              <w:jc w:val="right"/>
              <w:spacing w:after="0"/>
              <w:rPr>
                <w:sz w:val="20"/>
                <w:szCs w:val="20"/>
                <w:color w:val="auto"/>
              </w:rPr>
            </w:pPr>
            <w:r>
              <w:rPr>
                <w:rFonts w:ascii="Arial" w:cs="Arial" w:eastAsia="Arial" w:hAnsi="Arial"/>
                <w:sz w:val="13"/>
                <w:szCs w:val="13"/>
                <w:color w:val="auto"/>
              </w:rPr>
              <w:t>900,984</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00"/>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tcPr>
          <w:p>
            <w:pPr>
              <w:jc w:val="right"/>
              <w:spacing w:after="0"/>
              <w:rPr>
                <w:sz w:val="20"/>
                <w:szCs w:val="20"/>
                <w:color w:val="auto"/>
              </w:rPr>
            </w:pPr>
            <w:r>
              <w:rPr>
                <w:rFonts w:ascii="Arial" w:cs="Arial" w:eastAsia="Arial" w:hAnsi="Arial"/>
                <w:sz w:val="13"/>
                <w:szCs w:val="13"/>
                <w:color w:val="auto"/>
              </w:rPr>
              <w:t>3,129</w:t>
            </w:r>
          </w:p>
        </w:tc>
        <w:tc>
          <w:tcPr>
            <w:tcW w:w="1000" w:type="dxa"/>
            <w:vAlign w:val="bottom"/>
          </w:tcPr>
          <w:p>
            <w:pPr>
              <w:jc w:val="right"/>
              <w:spacing w:after="0"/>
              <w:rPr>
                <w:sz w:val="20"/>
                <w:szCs w:val="20"/>
                <w:color w:val="auto"/>
              </w:rPr>
            </w:pPr>
            <w:r>
              <w:rPr>
                <w:rFonts w:ascii="Arial" w:cs="Arial" w:eastAsia="Arial" w:hAnsi="Arial"/>
                <w:sz w:val="13"/>
                <w:szCs w:val="13"/>
                <w:color w:val="auto"/>
              </w:rPr>
              <w:t>9,388</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272.38</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2/14/2034</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313"/>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1,873</w:t>
            </w:r>
            <w:r>
              <w:rPr>
                <w:rFonts w:ascii="Arial" w:cs="Arial" w:eastAsia="Arial" w:hAnsi="Arial"/>
                <w:sz w:val="16"/>
                <w:szCs w:val="16"/>
                <w:color w:val="auto"/>
                <w:vertAlign w:val="superscript"/>
              </w:rPr>
              <w:t>(10)</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563,642</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2,304</w:t>
            </w:r>
            <w:r>
              <w:rPr>
                <w:rFonts w:ascii="Arial" w:cs="Arial" w:eastAsia="Arial" w:hAnsi="Arial"/>
                <w:sz w:val="16"/>
                <w:szCs w:val="16"/>
                <w:color w:val="auto"/>
                <w:vertAlign w:val="superscript"/>
              </w:rPr>
              <w:t>(12)</w:t>
            </w:r>
          </w:p>
        </w:tc>
        <w:tc>
          <w:tcPr>
            <w:tcW w:w="740" w:type="dxa"/>
            <w:vAlign w:val="bottom"/>
          </w:tcPr>
          <w:p>
            <w:pPr>
              <w:jc w:val="right"/>
              <w:spacing w:after="0"/>
              <w:rPr>
                <w:sz w:val="20"/>
                <w:szCs w:val="20"/>
                <w:color w:val="auto"/>
              </w:rPr>
            </w:pPr>
            <w:r>
              <w:rPr>
                <w:rFonts w:ascii="Arial" w:cs="Arial" w:eastAsia="Arial" w:hAnsi="Arial"/>
                <w:sz w:val="13"/>
                <w:szCs w:val="13"/>
                <w:color w:val="auto"/>
              </w:rPr>
              <w:t>693,343</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00"/>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10,867</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377.31</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2/14/2035</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313"/>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1,591</w:t>
            </w:r>
            <w:r>
              <w:rPr>
                <w:rFonts w:ascii="Arial" w:cs="Arial" w:eastAsia="Arial" w:hAnsi="Arial"/>
                <w:sz w:val="16"/>
                <w:szCs w:val="16"/>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3"/>
                <w:szCs w:val="13"/>
                <w:color w:val="auto"/>
              </w:rPr>
              <w:t>478,780</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1,061</w:t>
            </w:r>
            <w:r>
              <w:rPr>
                <w:rFonts w:ascii="Arial" w:cs="Arial" w:eastAsia="Arial" w:hAnsi="Arial"/>
                <w:sz w:val="16"/>
                <w:szCs w:val="16"/>
                <w:color w:val="auto"/>
                <w:vertAlign w:val="superscript"/>
              </w:rPr>
              <w:t>(7)</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319,287</w:t>
            </w:r>
          </w:p>
        </w:tc>
      </w:tr>
      <w:tr>
        <w:trPr>
          <w:trHeight w:val="290"/>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25"/>
                <w:szCs w:val="25"/>
                <w:color w:val="auto"/>
                <w:vertAlign w:val="subscript"/>
              </w:rPr>
              <w:t>955</w:t>
            </w:r>
            <w:r>
              <w:rPr>
                <w:rFonts w:ascii="Arial" w:cs="Arial" w:eastAsia="Arial" w:hAnsi="Arial"/>
                <w:sz w:val="8"/>
                <w:szCs w:val="8"/>
                <w:color w:val="auto"/>
              </w:rPr>
              <w:t>(9)</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287,388</w:t>
            </w:r>
          </w:p>
        </w:tc>
      </w:tr>
      <w:tr>
        <w:trPr>
          <w:trHeight w:val="223"/>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2,227</w:t>
            </w:r>
            <w:r>
              <w:rPr>
                <w:rFonts w:ascii="Arial" w:cs="Arial" w:eastAsia="Arial" w:hAnsi="Arial"/>
                <w:sz w:val="16"/>
                <w:szCs w:val="16"/>
                <w:color w:val="auto"/>
                <w:vertAlign w:val="superscript"/>
              </w:rPr>
              <w:t>(8)</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670,171</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1,458</w:t>
            </w:r>
            <w:r>
              <w:rPr>
                <w:rFonts w:ascii="Arial" w:cs="Arial" w:eastAsia="Arial" w:hAnsi="Arial"/>
                <w:sz w:val="16"/>
                <w:szCs w:val="16"/>
                <w:color w:val="auto"/>
                <w:vertAlign w:val="superscript"/>
              </w:rPr>
              <w:t>(6)</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438,756</w:t>
            </w:r>
          </w:p>
        </w:tc>
      </w:tr>
      <w:tr>
        <w:trPr>
          <w:trHeight w:val="241"/>
        </w:trPr>
        <w:tc>
          <w:tcPr>
            <w:tcW w:w="740" w:type="dxa"/>
            <w:vAlign w:val="bottom"/>
          </w:tcPr>
          <w:p>
            <w:pPr>
              <w:jc w:val="center"/>
              <w:spacing w:after="0"/>
              <w:rPr>
                <w:sz w:val="20"/>
                <w:szCs w:val="20"/>
                <w:color w:val="auto"/>
              </w:rPr>
            </w:pPr>
            <w:r>
              <w:rPr>
                <w:rFonts w:ascii="Arial" w:cs="Arial" w:eastAsia="Arial" w:hAnsi="Arial"/>
                <w:sz w:val="13"/>
                <w:szCs w:val="13"/>
                <w:color w:val="auto"/>
                <w:w w:val="96"/>
              </w:rPr>
              <w:t>3/17/2025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1,708</w:t>
            </w:r>
            <w:r>
              <w:rPr>
                <w:rFonts w:ascii="Arial" w:cs="Arial" w:eastAsia="Arial" w:hAnsi="Arial"/>
                <w:sz w:val="16"/>
                <w:szCs w:val="16"/>
                <w:color w:val="auto"/>
                <w:vertAlign w:val="superscript"/>
              </w:rPr>
              <w:t>(5)</w:t>
            </w:r>
          </w:p>
        </w:tc>
        <w:tc>
          <w:tcPr>
            <w:tcW w:w="740" w:type="dxa"/>
            <w:vAlign w:val="bottom"/>
          </w:tcPr>
          <w:p>
            <w:pPr>
              <w:jc w:val="right"/>
              <w:spacing w:after="0"/>
              <w:rPr>
                <w:sz w:val="20"/>
                <w:szCs w:val="20"/>
                <w:color w:val="auto"/>
              </w:rPr>
            </w:pPr>
            <w:r>
              <w:rPr>
                <w:rFonts w:ascii="Arial" w:cs="Arial" w:eastAsia="Arial" w:hAnsi="Arial"/>
                <w:sz w:val="13"/>
                <w:szCs w:val="13"/>
                <w:color w:val="auto"/>
              </w:rPr>
              <w:t>513,988</w:t>
            </w:r>
          </w:p>
        </w:tc>
        <w:tc>
          <w:tcPr>
            <w:tcW w:w="920" w:type="dxa"/>
            <w:vAlign w:val="bottom"/>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w:t>
            </w:r>
          </w:p>
        </w:tc>
      </w:tr>
      <w:tr>
        <w:trPr>
          <w:trHeight w:val="237"/>
        </w:trPr>
        <w:tc>
          <w:tcPr>
            <w:tcW w:w="7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2/27/2019</w:t>
            </w:r>
          </w:p>
        </w:tc>
        <w:tc>
          <w:tcPr>
            <w:tcW w:w="8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9,600</w:t>
            </w:r>
          </w:p>
        </w:tc>
        <w:tc>
          <w:tcPr>
            <w:tcW w:w="10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231.70</w:t>
            </w:r>
          </w:p>
        </w:tc>
        <w:tc>
          <w:tcPr>
            <w:tcW w:w="74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2/27/2029</w:t>
            </w:r>
          </w:p>
        </w:tc>
        <w:tc>
          <w:tcPr>
            <w:tcW w:w="760" w:type="dxa"/>
            <w:vAlign w:val="bottom"/>
            <w:tcBorders>
              <w:bottom w:val="single" w:sz="8" w:color="F1F2F2"/>
            </w:tcBorders>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1F2F2"/>
            </w:tcBorders>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F1F2F2"/>
            </w:tcBorders>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15"/>
        </w:trPr>
        <w:tc>
          <w:tcPr>
            <w:tcW w:w="740" w:type="dxa"/>
            <w:vAlign w:val="bottom"/>
          </w:tcPr>
          <w:p>
            <w:pPr>
              <w:jc w:val="center"/>
              <w:spacing w:after="0"/>
              <w:rPr>
                <w:sz w:val="20"/>
                <w:szCs w:val="20"/>
                <w:color w:val="auto"/>
              </w:rPr>
            </w:pPr>
            <w:r>
              <w:rPr>
                <w:rFonts w:ascii="Arial" w:cs="Arial" w:eastAsia="Arial" w:hAnsi="Arial"/>
                <w:sz w:val="13"/>
                <w:szCs w:val="13"/>
                <w:color w:val="auto"/>
                <w:w w:val="96"/>
              </w:rPr>
              <w:t>3/27/2020</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20,886</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196.18</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3/27/2030</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1/25/2021</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13,722</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261.07</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1/25/2031</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98"/>
        </w:trPr>
        <w:tc>
          <w:tcPr>
            <w:tcW w:w="740" w:type="dxa"/>
            <w:vAlign w:val="bottom"/>
          </w:tcPr>
          <w:p>
            <w:pPr>
              <w:jc w:val="center"/>
              <w:spacing w:after="0"/>
              <w:rPr>
                <w:sz w:val="20"/>
                <w:szCs w:val="20"/>
                <w:color w:val="auto"/>
              </w:rPr>
            </w:pPr>
            <w:r>
              <w:rPr>
                <w:rFonts w:ascii="Arial" w:cs="Arial" w:eastAsia="Arial" w:hAnsi="Arial"/>
                <w:sz w:val="13"/>
                <w:szCs w:val="13"/>
                <w:color w:val="auto"/>
                <w:w w:val="98"/>
              </w:rPr>
              <w:t>10/25/2021</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15,000</w:t>
            </w:r>
            <w:r>
              <w:rPr>
                <w:rFonts w:ascii="Arial" w:cs="Arial" w:eastAsia="Arial" w:hAnsi="Arial"/>
                <w:sz w:val="16"/>
                <w:szCs w:val="16"/>
                <w:color w:val="auto"/>
                <w:vertAlign w:val="superscript"/>
              </w:rPr>
              <w:t>(16)</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280.97</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8"/>
              </w:rPr>
              <w:t>10/25/2031</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15"/>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1/24/2022</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13,764</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4,588</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225.45</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1/24/2032</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1/24/2022</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13,764</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4,588</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225.45</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1/24/2032</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1/23/2023</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8,839</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8,840</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200.41</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1/23/2033</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98"/>
        </w:trPr>
        <w:tc>
          <w:tcPr>
            <w:tcW w:w="740" w:type="dxa"/>
            <w:vAlign w:val="bottom"/>
          </w:tcPr>
          <w:p>
            <w:pPr>
              <w:jc w:val="center"/>
              <w:spacing w:after="0"/>
              <w:rPr>
                <w:sz w:val="20"/>
                <w:szCs w:val="20"/>
                <w:color w:val="auto"/>
              </w:rPr>
            </w:pPr>
            <w:r>
              <w:rPr>
                <w:rFonts w:ascii="Arial" w:cs="Arial" w:eastAsia="Arial" w:hAnsi="Arial"/>
                <w:sz w:val="13"/>
                <w:szCs w:val="13"/>
                <w:color w:val="auto"/>
                <w:w w:val="94"/>
              </w:rPr>
              <w:t>3/1/2023</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1,696</w:t>
            </w:r>
            <w:r>
              <w:rPr>
                <w:rFonts w:ascii="Arial" w:cs="Arial" w:eastAsia="Arial" w:hAnsi="Arial"/>
                <w:sz w:val="16"/>
                <w:szCs w:val="16"/>
                <w:color w:val="auto"/>
                <w:vertAlign w:val="superscript"/>
              </w:rPr>
              <w:t>(14)</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510,377</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15"/>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2,607</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7,824</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272.38</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2/14/2034</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98"/>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1,542</w:t>
            </w:r>
            <w:r>
              <w:rPr>
                <w:rFonts w:ascii="Arial" w:cs="Arial" w:eastAsia="Arial" w:hAnsi="Arial"/>
                <w:sz w:val="16"/>
                <w:szCs w:val="16"/>
                <w:color w:val="auto"/>
                <w:vertAlign w:val="superscript"/>
              </w:rPr>
              <w:t>(10)</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464,034</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2/14/2024</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2,320</w:t>
            </w:r>
            <w:r>
              <w:rPr>
                <w:rFonts w:ascii="Arial" w:cs="Arial" w:eastAsia="Arial" w:hAnsi="Arial"/>
                <w:sz w:val="16"/>
                <w:szCs w:val="16"/>
                <w:color w:val="auto"/>
                <w:vertAlign w:val="superscript"/>
              </w:rPr>
              <w:t>(12)</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698,158</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16"/>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7,245</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377.31</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2/14/2035</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313"/>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1,061</w:t>
            </w:r>
            <w:r>
              <w:rPr>
                <w:rFonts w:ascii="Arial" w:cs="Arial" w:eastAsia="Arial" w:hAnsi="Arial"/>
                <w:sz w:val="16"/>
                <w:szCs w:val="16"/>
                <w:color w:val="auto"/>
                <w:vertAlign w:val="superscript"/>
              </w:rPr>
              <w:t>(4)</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319,287</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257"/>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1,061</w:t>
            </w:r>
            <w:r>
              <w:rPr>
                <w:rFonts w:ascii="Arial" w:cs="Arial" w:eastAsia="Arial" w:hAnsi="Arial"/>
                <w:sz w:val="16"/>
                <w:szCs w:val="16"/>
                <w:color w:val="auto"/>
                <w:vertAlign w:val="superscript"/>
              </w:rPr>
              <w:t>(7)</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319,287</w:t>
            </w:r>
          </w:p>
        </w:tc>
      </w:tr>
      <w:tr>
        <w:trPr>
          <w:trHeight w:val="290"/>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right"/>
              <w:spacing w:after="0"/>
              <w:rPr>
                <w:sz w:val="20"/>
                <w:szCs w:val="20"/>
                <w:color w:val="auto"/>
              </w:rPr>
            </w:pPr>
            <w:r>
              <w:rPr>
                <w:rFonts w:ascii="Arial" w:cs="Arial" w:eastAsia="Arial" w:hAnsi="Arial"/>
                <w:sz w:val="25"/>
                <w:szCs w:val="25"/>
                <w:color w:val="auto"/>
                <w:vertAlign w:val="subscript"/>
              </w:rPr>
              <w:t>637</w:t>
            </w:r>
            <w:r>
              <w:rPr>
                <w:rFonts w:ascii="Arial" w:cs="Arial" w:eastAsia="Arial" w:hAnsi="Arial"/>
                <w:sz w:val="8"/>
                <w:szCs w:val="8"/>
                <w:color w:val="auto"/>
              </w:rPr>
              <w:t>(9)</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191,692</w:t>
            </w:r>
          </w:p>
        </w:tc>
      </w:tr>
      <w:tr>
        <w:trPr>
          <w:trHeight w:val="223"/>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1,485</w:t>
            </w:r>
            <w:r>
              <w:rPr>
                <w:rFonts w:ascii="Arial" w:cs="Arial" w:eastAsia="Arial" w:hAnsi="Arial"/>
                <w:sz w:val="16"/>
                <w:szCs w:val="16"/>
                <w:color w:val="auto"/>
                <w:vertAlign w:val="superscript"/>
              </w:rPr>
              <w:t>(8)</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446,881</w:t>
            </w:r>
          </w:p>
        </w:tc>
      </w:tr>
      <w:tr>
        <w:trPr>
          <w:trHeight w:val="256"/>
        </w:trPr>
        <w:tc>
          <w:tcPr>
            <w:tcW w:w="740" w:type="dxa"/>
            <w:vAlign w:val="bottom"/>
          </w:tcPr>
          <w:p>
            <w:pPr>
              <w:jc w:val="center"/>
              <w:spacing w:after="0"/>
              <w:rPr>
                <w:sz w:val="20"/>
                <w:szCs w:val="20"/>
                <w:color w:val="auto"/>
              </w:rPr>
            </w:pPr>
            <w:r>
              <w:rPr>
                <w:rFonts w:ascii="Arial" w:cs="Arial" w:eastAsia="Arial" w:hAnsi="Arial"/>
                <w:sz w:val="13"/>
                <w:szCs w:val="13"/>
                <w:color w:val="auto"/>
                <w:w w:val="96"/>
              </w:rPr>
              <w:t>2/14/2025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1F2F2"/>
          </w:tcPr>
          <w:p>
            <w:pPr>
              <w:ind w:left="560"/>
              <w:spacing w:after="0"/>
              <w:rPr>
                <w:sz w:val="20"/>
                <w:szCs w:val="20"/>
                <w:color w:val="auto"/>
              </w:rPr>
            </w:pPr>
            <w:r>
              <w:rPr>
                <w:rFonts w:ascii="Arial" w:cs="Arial" w:eastAsia="Arial" w:hAnsi="Arial"/>
                <w:sz w:val="13"/>
                <w:szCs w:val="13"/>
                <w:color w:val="auto"/>
              </w:rPr>
              <w:t>—</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1,193</w:t>
            </w:r>
            <w:r>
              <w:rPr>
                <w:rFonts w:ascii="Arial" w:cs="Arial" w:eastAsia="Arial" w:hAnsi="Arial"/>
                <w:sz w:val="16"/>
                <w:szCs w:val="16"/>
                <w:color w:val="auto"/>
                <w:vertAlign w:val="superscript"/>
              </w:rPr>
              <w:t>(6)</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359,009</w:t>
            </w:r>
          </w:p>
        </w:tc>
      </w:tr>
      <w:tr>
        <w:trPr>
          <w:trHeight w:val="200"/>
        </w:trPr>
        <w:tc>
          <w:tcPr>
            <w:tcW w:w="740" w:type="dxa"/>
            <w:vAlign w:val="bottom"/>
          </w:tcPr>
          <w:p>
            <w:pPr>
              <w:jc w:val="center"/>
              <w:spacing w:after="0"/>
              <w:rPr>
                <w:sz w:val="20"/>
                <w:szCs w:val="20"/>
                <w:color w:val="auto"/>
              </w:rPr>
            </w:pPr>
            <w:r>
              <w:rPr>
                <w:rFonts w:ascii="Arial" w:cs="Arial" w:eastAsia="Arial" w:hAnsi="Arial"/>
                <w:sz w:val="13"/>
                <w:szCs w:val="13"/>
                <w:color w:val="auto"/>
                <w:w w:val="96"/>
              </w:rPr>
              <w:t>7/22/2025</w:t>
            </w:r>
          </w:p>
        </w:tc>
        <w:tc>
          <w:tcPr>
            <w:tcW w:w="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71,989</w:t>
            </w:r>
          </w:p>
        </w:tc>
        <w:tc>
          <w:tcPr>
            <w:tcW w:w="5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334.29</w:t>
            </w:r>
          </w:p>
        </w:tc>
        <w:tc>
          <w:tcPr>
            <w:tcW w:w="74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7/22/2035</w:t>
            </w:r>
          </w:p>
        </w:tc>
        <w:tc>
          <w:tcPr>
            <w:tcW w:w="760" w:type="dxa"/>
            <w:vAlign w:val="bottom"/>
            <w:shd w:val="clear" w:color="auto" w:fill="F1F2F2"/>
          </w:tcPr>
          <w:p>
            <w:pPr>
              <w:jc w:val="center"/>
              <w:ind w:left="458"/>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1F2F2"/>
          </w:tcPr>
          <w:p>
            <w:pPr>
              <w:jc w:val="center"/>
              <w:ind w:left="639"/>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F2F2"/>
          </w:tcPr>
          <w:p>
            <w:pPr>
              <w:jc w:val="right"/>
              <w:ind w:right="78"/>
              <w:spacing w:after="0"/>
              <w:rPr>
                <w:sz w:val="20"/>
                <w:szCs w:val="20"/>
                <w:color w:val="auto"/>
              </w:rPr>
            </w:pPr>
            <w:r>
              <w:rPr>
                <w:rFonts w:ascii="Arial" w:cs="Arial" w:eastAsia="Arial" w:hAnsi="Arial"/>
                <w:sz w:val="13"/>
                <w:szCs w:val="13"/>
                <w:color w:val="auto"/>
              </w:rPr>
              <w:t>—</w:t>
            </w:r>
          </w:p>
        </w:tc>
      </w:tr>
      <w:tr>
        <w:trPr>
          <w:trHeight w:val="41"/>
        </w:trPr>
        <w:tc>
          <w:tcPr>
            <w:tcW w:w="740" w:type="dxa"/>
            <w:vAlign w:val="bottom"/>
          </w:tcPr>
          <w:p>
            <w:pPr>
              <w:spacing w:after="0"/>
              <w:rPr>
                <w:sz w:val="3"/>
                <w:szCs w:val="3"/>
                <w:color w:val="auto"/>
              </w:rPr>
            </w:pPr>
          </w:p>
        </w:tc>
        <w:tc>
          <w:tcPr>
            <w:tcW w:w="840" w:type="dxa"/>
            <w:vAlign w:val="bottom"/>
            <w:shd w:val="clear" w:color="auto" w:fill="F1F2F2"/>
          </w:tcPr>
          <w:p>
            <w:pPr>
              <w:spacing w:after="0"/>
              <w:rPr>
                <w:sz w:val="3"/>
                <w:szCs w:val="3"/>
                <w:color w:val="auto"/>
              </w:rPr>
            </w:pPr>
          </w:p>
        </w:tc>
        <w:tc>
          <w:tcPr>
            <w:tcW w:w="1000" w:type="dxa"/>
            <w:vAlign w:val="bottom"/>
            <w:shd w:val="clear" w:color="auto" w:fill="F1F2F2"/>
          </w:tcPr>
          <w:p>
            <w:pPr>
              <w:spacing w:after="0"/>
              <w:rPr>
                <w:sz w:val="3"/>
                <w:szCs w:val="3"/>
                <w:color w:val="auto"/>
              </w:rPr>
            </w:pPr>
          </w:p>
        </w:tc>
        <w:tc>
          <w:tcPr>
            <w:tcW w:w="780" w:type="dxa"/>
            <w:vAlign w:val="bottom"/>
            <w:shd w:val="clear" w:color="auto" w:fill="F1F2F2"/>
          </w:tcPr>
          <w:p>
            <w:pPr>
              <w:spacing w:after="0"/>
              <w:rPr>
                <w:sz w:val="3"/>
                <w:szCs w:val="3"/>
                <w:color w:val="auto"/>
              </w:rPr>
            </w:pPr>
          </w:p>
        </w:tc>
        <w:tc>
          <w:tcPr>
            <w:tcW w:w="580" w:type="dxa"/>
            <w:vAlign w:val="bottom"/>
            <w:shd w:val="clear" w:color="auto" w:fill="F1F2F2"/>
          </w:tcPr>
          <w:p>
            <w:pPr>
              <w:spacing w:after="0"/>
              <w:rPr>
                <w:sz w:val="3"/>
                <w:szCs w:val="3"/>
                <w:color w:val="auto"/>
              </w:rPr>
            </w:pPr>
          </w:p>
        </w:tc>
        <w:tc>
          <w:tcPr>
            <w:tcW w:w="740" w:type="dxa"/>
            <w:vAlign w:val="bottom"/>
            <w:shd w:val="clear" w:color="auto" w:fill="F1F2F2"/>
          </w:tcPr>
          <w:p>
            <w:pPr>
              <w:spacing w:after="0"/>
              <w:rPr>
                <w:sz w:val="3"/>
                <w:szCs w:val="3"/>
                <w:color w:val="auto"/>
              </w:rPr>
            </w:pPr>
          </w:p>
        </w:tc>
        <w:tc>
          <w:tcPr>
            <w:tcW w:w="760" w:type="dxa"/>
            <w:vAlign w:val="bottom"/>
            <w:shd w:val="clear" w:color="auto" w:fill="F1F2F2"/>
          </w:tcPr>
          <w:p>
            <w:pPr>
              <w:spacing w:after="0"/>
              <w:rPr>
                <w:sz w:val="3"/>
                <w:szCs w:val="3"/>
                <w:color w:val="auto"/>
              </w:rPr>
            </w:pPr>
          </w:p>
        </w:tc>
        <w:tc>
          <w:tcPr>
            <w:tcW w:w="740" w:type="dxa"/>
            <w:vAlign w:val="bottom"/>
            <w:shd w:val="clear" w:color="auto" w:fill="F1F2F2"/>
          </w:tcPr>
          <w:p>
            <w:pPr>
              <w:spacing w:after="0"/>
              <w:rPr>
                <w:sz w:val="3"/>
                <w:szCs w:val="3"/>
                <w:color w:val="auto"/>
              </w:rPr>
            </w:pPr>
          </w:p>
        </w:tc>
        <w:tc>
          <w:tcPr>
            <w:tcW w:w="920" w:type="dxa"/>
            <w:vAlign w:val="bottom"/>
            <w:shd w:val="clear" w:color="auto" w:fill="F1F2F2"/>
          </w:tcPr>
          <w:p>
            <w:pPr>
              <w:spacing w:after="0"/>
              <w:rPr>
                <w:sz w:val="3"/>
                <w:szCs w:val="3"/>
                <w:color w:val="auto"/>
              </w:rPr>
            </w:pPr>
          </w:p>
        </w:tc>
        <w:tc>
          <w:tcPr>
            <w:tcW w:w="1080" w:type="dxa"/>
            <w:vAlign w:val="bottom"/>
            <w:shd w:val="clear" w:color="auto" w:fill="F1F2F2"/>
          </w:tcPr>
          <w:p>
            <w:pPr>
              <w:spacing w:after="0"/>
              <w:rPr>
                <w:sz w:val="3"/>
                <w:szCs w:val="3"/>
                <w:color w:val="auto"/>
              </w:rPr>
            </w:pPr>
          </w:p>
        </w:tc>
      </w:tr>
    </w:tbl>
    <w:p>
      <w:pPr>
        <w:spacing w:after="0" w:line="119" w:lineRule="exact"/>
        <w:rPr>
          <w:sz w:val="20"/>
          <w:szCs w:val="20"/>
          <w:color w:val="auto"/>
        </w:rPr>
      </w:pPr>
    </w:p>
    <w:p>
      <w:pPr>
        <w:sectPr>
          <w:pgSz w:w="11900" w:h="16838" w:orient="portrait"/>
          <w:cols w:equalWidth="0" w:num="2">
            <w:col w:w="732" w:space="140"/>
            <w:col w:w="8180"/>
          </w:cols>
          <w:pgMar w:left="1408" w:top="729" w:right="1439" w:bottom="1440" w:gutter="0" w:footer="0" w:header="0"/>
          <w:type w:val="continuous"/>
        </w:sectPr>
      </w:pPr>
    </w:p>
    <w:p>
      <w:pPr>
        <w:ind w:left="332" w:hanging="332"/>
        <w:spacing w:after="0"/>
        <w:tabs>
          <w:tab w:leader="none" w:pos="332"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Stock options in these columns generally vest in substantially equal installments on each of the first four anniversaries of the grant date.</w:t>
      </w:r>
    </w:p>
    <w:p>
      <w:pPr>
        <w:spacing w:after="0" w:line="53" w:lineRule="exact"/>
        <w:rPr>
          <w:rFonts w:ascii="Arial" w:cs="Arial" w:eastAsia="Arial" w:hAnsi="Arial"/>
          <w:sz w:val="13"/>
          <w:szCs w:val="13"/>
          <w:i w:val="1"/>
          <w:iCs w:val="1"/>
          <w:color w:val="auto"/>
        </w:rPr>
      </w:pPr>
    </w:p>
    <w:p>
      <w:pPr>
        <w:ind w:left="332" w:hanging="332"/>
        <w:spacing w:after="0"/>
        <w:tabs>
          <w:tab w:leader="none" w:pos="332" w:val="left"/>
        </w:tabs>
        <w:numPr>
          <w:ilvl w:val="0"/>
          <w:numId w:val="54"/>
        </w:numPr>
        <w:rPr>
          <w:rFonts w:ascii="Arial" w:cs="Arial" w:eastAsia="Arial" w:hAnsi="Arial"/>
          <w:sz w:val="12"/>
          <w:szCs w:val="12"/>
          <w:i w:val="1"/>
          <w:iCs w:val="1"/>
          <w:color w:val="auto"/>
        </w:rPr>
      </w:pPr>
      <w:r>
        <w:rPr>
          <w:rFonts w:ascii="Arial" w:cs="Arial" w:eastAsia="Arial" w:hAnsi="Arial"/>
          <w:sz w:val="12"/>
          <w:szCs w:val="12"/>
          <w:i w:val="1"/>
          <w:iCs w:val="1"/>
          <w:color w:val="auto"/>
        </w:rPr>
        <w:t>Stock options in this column are subject to three-year performance period goals and cliff-vesting generally 45 days after the end of the performance period.</w:t>
      </w:r>
    </w:p>
    <w:p>
      <w:pPr>
        <w:spacing w:after="0" w:line="200" w:lineRule="exact"/>
        <w:rPr>
          <w:sz w:val="20"/>
          <w:szCs w:val="20"/>
          <w:color w:val="auto"/>
        </w:rPr>
      </w:pPr>
    </w:p>
    <w:p>
      <w:pPr>
        <w:spacing w:after="0" w:line="344" w:lineRule="exact"/>
        <w:rPr>
          <w:sz w:val="20"/>
          <w:szCs w:val="20"/>
          <w:color w:val="auto"/>
        </w:rPr>
      </w:pPr>
    </w:p>
    <w:p>
      <w:pPr>
        <w:jc w:val="right"/>
        <w:ind w:right="20"/>
        <w:spacing w:after="0"/>
        <w:tabs>
          <w:tab w:leader="none" w:pos="14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49</w:t>
      </w:r>
    </w:p>
    <w:p>
      <w:pPr>
        <w:sectPr>
          <w:pgSz w:w="11900" w:h="16838" w:orient="portrait"/>
          <w:cols w:equalWidth="0" w:num="1">
            <w:col w:w="9052"/>
          </w:cols>
          <w:pgMar w:left="1408" w:top="729" w:right="1439" w:bottom="1440" w:gutter="0" w:footer="0" w:header="0"/>
          <w:type w:val="continuous"/>
        </w:sectPr>
      </w:pPr>
    </w:p>
    <w:bookmarkStart w:id="55" w:name="page56"/>
    <w:bookmarkEnd w:id="55"/>
    <w:p>
      <w:pPr>
        <w:ind w:left="52"/>
        <w:spacing w:after="0"/>
        <w:tabs>
          <w:tab w:leader="none" w:pos="8032"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06. 2025 NAMED EXECUTIVE OFFICER COMPENSATION</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2" w:hanging="332"/>
        <w:spacing w:after="0"/>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Market value is calculated using $300.93, the Company’s closing stock price on December 31, 2025 (the last trading day of 2025).</w:t>
      </w:r>
    </w:p>
    <w:p>
      <w:pPr>
        <w:spacing w:after="0" w:line="53" w:lineRule="exact"/>
        <w:rPr>
          <w:rFonts w:ascii="Arial" w:cs="Arial" w:eastAsia="Arial" w:hAnsi="Arial"/>
          <w:sz w:val="13"/>
          <w:szCs w:val="13"/>
          <w:i w:val="1"/>
          <w:iCs w:val="1"/>
          <w:color w:val="auto"/>
        </w:rPr>
      </w:pPr>
    </w:p>
    <w:p>
      <w:pPr>
        <w:ind w:left="332" w:hanging="332"/>
        <w:spacing w:after="0"/>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Time-Based Equity that vests in equal installments on the first three anniversaries of the grant date.</w:t>
      </w:r>
    </w:p>
    <w:p>
      <w:pPr>
        <w:spacing w:after="0" w:line="53" w:lineRule="exact"/>
        <w:rPr>
          <w:rFonts w:ascii="Arial" w:cs="Arial" w:eastAsia="Arial" w:hAnsi="Arial"/>
          <w:sz w:val="13"/>
          <w:szCs w:val="13"/>
          <w:i w:val="1"/>
          <w:iCs w:val="1"/>
          <w:color w:val="auto"/>
        </w:rPr>
      </w:pPr>
    </w:p>
    <w:p>
      <w:pPr>
        <w:ind w:left="332" w:hanging="332"/>
        <w:spacing w:after="0"/>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Time-Based Equity that vests on the one-year anniversary of the grant date.</w:t>
      </w:r>
    </w:p>
    <w:p>
      <w:pPr>
        <w:spacing w:after="0" w:line="66" w:lineRule="exact"/>
        <w:rPr>
          <w:rFonts w:ascii="Arial" w:cs="Arial" w:eastAsia="Arial" w:hAnsi="Arial"/>
          <w:sz w:val="13"/>
          <w:szCs w:val="13"/>
          <w:i w:val="1"/>
          <w:iCs w:val="1"/>
          <w:color w:val="auto"/>
        </w:rPr>
      </w:pPr>
    </w:p>
    <w:p>
      <w:pPr>
        <w:ind w:left="332" w:right="60" w:hanging="332"/>
        <w:spacing w:after="0" w:line="244"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Annual Bonus Equity Incentives unvested and unearned at December 31, 2025, where performance targets are based on achieving financial or other performance goals for the period ending December 31, 2025. The earned portion of the award generally pays out after certification of the performance goals. The awards are reported based on the target performance level. For information regarding the portion of the awards actually earned after the compensation committee’s certification of the performance goals, see “Compensation Discussion and Analysis—Key Elements of 2025 Named Executive Officer Compensation—2025 Performance-Based Equity Goals and Payout Results.”</w:t>
      </w:r>
    </w:p>
    <w:p>
      <w:pPr>
        <w:spacing w:after="0" w:line="50" w:lineRule="exact"/>
        <w:rPr>
          <w:rFonts w:ascii="Arial" w:cs="Arial" w:eastAsia="Arial" w:hAnsi="Arial"/>
          <w:sz w:val="13"/>
          <w:szCs w:val="13"/>
          <w:i w:val="1"/>
          <w:iCs w:val="1"/>
          <w:color w:val="auto"/>
        </w:rPr>
      </w:pPr>
    </w:p>
    <w:p>
      <w:pPr>
        <w:ind w:left="332" w:right="160" w:hanging="332"/>
        <w:spacing w:after="0" w:line="247"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Company Annual Equity Incentives unvested and unearned at December 31, 2025, where performance targets are based on Adjusted EPS-COMP achievement for the period ending December 31, 2025. The earned portion of the award generally pays out after certification of the performance goals, except for Mr. Walker’s which vests on July 15, 2026 and Ms. Vickery’s which vests 5/8 on the first anniversary of the grant date, and 3/8 on the second anniversary of the grant date. The awards are reported based on the target performance level. For information regarding the portion of the awards actually earned after the compensation committee’s certification of the performance goals, see “Compensation Discussion and Analysis—Key Elements of 2025 Named Executive Officer Compensation—2025 Performance-Based Equity Goals and Payout Results.”</w:t>
      </w:r>
    </w:p>
    <w:p>
      <w:pPr>
        <w:spacing w:after="0" w:line="35" w:lineRule="exact"/>
        <w:rPr>
          <w:rFonts w:ascii="Arial" w:cs="Arial" w:eastAsia="Arial" w:hAnsi="Arial"/>
          <w:sz w:val="13"/>
          <w:szCs w:val="13"/>
          <w:i w:val="1"/>
          <w:iCs w:val="1"/>
          <w:color w:val="auto"/>
        </w:rPr>
      </w:pPr>
    </w:p>
    <w:p>
      <w:pPr>
        <w:ind w:left="332" w:hanging="332"/>
        <w:spacing w:after="0" w:line="247"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Long-Term Equity Incentives unvested and unearned at December 31, 2025, where performance targets are based on achieving Company-wide or business unit performance goals. These awards were subject to a one-year performance period ending on December 31, 2025, and the earned portions of the awards vest in equal installments on the first three anniversaries of the grant date. The awards are reported based on the target performance level. For information regarding the portion of the awards actually earned after the compensation committee’s certification of the performance goals, see “Compensation Discussion and Analysis—Key Elements of 2025 Named Executive Officer Compensation—2025 Performance-Based Equity Goals and Payout Results.”</w:t>
      </w:r>
    </w:p>
    <w:p>
      <w:pPr>
        <w:spacing w:after="0" w:line="35" w:lineRule="exact"/>
        <w:rPr>
          <w:rFonts w:ascii="Arial" w:cs="Arial" w:eastAsia="Arial" w:hAnsi="Arial"/>
          <w:sz w:val="13"/>
          <w:szCs w:val="13"/>
          <w:i w:val="1"/>
          <w:iCs w:val="1"/>
          <w:color w:val="auto"/>
        </w:rPr>
      </w:pPr>
    </w:p>
    <w:p>
      <w:pPr>
        <w:jc w:val="both"/>
        <w:ind w:left="332" w:hanging="332"/>
        <w:spacing w:after="0" w:line="250"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Long-Term Equity Incentives unvested and unearned at December 31, 2025, where performance targets are based on achieving Company-wide or business unit performance goals. These awards are subject to a three-year performance period ending on December 31, 2027, and the earned portions of the awards cliff-vest on the third anniversary of the grant date. The awards are reported based on the target performance level.</w:t>
      </w:r>
    </w:p>
    <w:p>
      <w:pPr>
        <w:spacing w:after="0" w:line="45" w:lineRule="exact"/>
        <w:rPr>
          <w:rFonts w:ascii="Arial" w:cs="Arial" w:eastAsia="Arial" w:hAnsi="Arial"/>
          <w:sz w:val="13"/>
          <w:szCs w:val="13"/>
          <w:i w:val="1"/>
          <w:iCs w:val="1"/>
          <w:color w:val="auto"/>
        </w:rPr>
      </w:pPr>
    </w:p>
    <w:p>
      <w:pPr>
        <w:jc w:val="both"/>
        <w:ind w:left="332" w:hanging="332"/>
        <w:spacing w:after="0" w:line="250"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Long-Term Equity Incentives unvested and unearned at December 31, 2025, where performance targets are based on achieving Company-wide or business unit performance goals. These awards are subject to a three-year performance period ending on December 31, 2026, and the earned portions of the awards cliff-vest on the third anniversary of the grant date. The awards are reported based on the target performance level.</w:t>
      </w:r>
    </w:p>
    <w:p>
      <w:pPr>
        <w:spacing w:after="0" w:line="32" w:lineRule="exact"/>
        <w:rPr>
          <w:rFonts w:ascii="Arial" w:cs="Arial" w:eastAsia="Arial" w:hAnsi="Arial"/>
          <w:sz w:val="13"/>
          <w:szCs w:val="13"/>
          <w:i w:val="1"/>
          <w:iCs w:val="1"/>
          <w:color w:val="auto"/>
        </w:rPr>
      </w:pPr>
    </w:p>
    <w:p>
      <w:pPr>
        <w:ind w:left="332" w:right="160" w:hanging="332"/>
        <w:spacing w:after="0" w:line="260"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unvested portion of Performance Share awards granted in 2022 that were earned based on 2022 performance. Ms. Vickery’s earned 2022 Performance Shares are 5/8 vested on the first anniversary of the grant date, and 1/8 vested on each of the second, third and fourth anniversaries of the grant date.</w:t>
      </w:r>
    </w:p>
    <w:p>
      <w:pPr>
        <w:spacing w:after="0" w:line="27" w:lineRule="exact"/>
        <w:rPr>
          <w:rFonts w:ascii="Arial" w:cs="Arial" w:eastAsia="Arial" w:hAnsi="Arial"/>
          <w:sz w:val="13"/>
          <w:szCs w:val="13"/>
          <w:i w:val="1"/>
          <w:iCs w:val="1"/>
          <w:color w:val="auto"/>
        </w:rPr>
      </w:pPr>
    </w:p>
    <w:p>
      <w:pPr>
        <w:ind w:left="332" w:hanging="332"/>
        <w:spacing w:after="0" w:line="250"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unvested portion of Company Annual Equity Incentives for Mr. Clarke and Long-Term Equity Incentives for Messrs. Netto and King granted in 2024 that were earned based on 2024 performance. Mr. Clarke’s, Mr. Netto’s, and Mr. King’s earned 2024 Company Annual Equity Incentives or Long-Term Equity Incentives, as applicable, vest in equal installments on the first three anniversaries of the grant date.</w:t>
      </w:r>
    </w:p>
    <w:p>
      <w:pPr>
        <w:spacing w:after="0" w:line="32" w:lineRule="exact"/>
        <w:rPr>
          <w:rFonts w:ascii="Arial" w:cs="Arial" w:eastAsia="Arial" w:hAnsi="Arial"/>
          <w:sz w:val="13"/>
          <w:szCs w:val="13"/>
          <w:i w:val="1"/>
          <w:iCs w:val="1"/>
          <w:color w:val="auto"/>
        </w:rPr>
      </w:pPr>
    </w:p>
    <w:p>
      <w:pPr>
        <w:jc w:val="both"/>
        <w:ind w:left="332" w:hanging="332"/>
        <w:spacing w:after="0" w:line="316" w:lineRule="auto"/>
        <w:tabs>
          <w:tab w:leader="none" w:pos="332" w:val="left"/>
        </w:tabs>
        <w:numPr>
          <w:ilvl w:val="0"/>
          <w:numId w:val="55"/>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the unvested portion of Company Annual Equity Incentives granted in 2024 that were earned based on 2024 performance. Ms. Vickery’s earned 2024 Company Annual Equity Incentives are 5/8 vested on the first anniversary of the grant date and 3/8 vested on the second anniversary of the grant date.</w:t>
      </w:r>
    </w:p>
    <w:p>
      <w:pPr>
        <w:spacing w:after="0" w:line="1" w:lineRule="exact"/>
        <w:rPr>
          <w:rFonts w:ascii="Arial" w:cs="Arial" w:eastAsia="Arial" w:hAnsi="Arial"/>
          <w:sz w:val="12"/>
          <w:szCs w:val="12"/>
          <w:i w:val="1"/>
          <w:iCs w:val="1"/>
          <w:color w:val="auto"/>
        </w:rPr>
      </w:pPr>
    </w:p>
    <w:p>
      <w:pPr>
        <w:ind w:left="332" w:right="400" w:hanging="332"/>
        <w:spacing w:after="0" w:line="261" w:lineRule="auto"/>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 the unvested portion of performance-based equity awards granted in 2023 that were earned based on 2023 performance and which vest in substantially equal installments on the first three anniversaries of the grant date.</w:t>
      </w:r>
    </w:p>
    <w:p>
      <w:pPr>
        <w:spacing w:after="0" w:line="25" w:lineRule="exact"/>
        <w:rPr>
          <w:rFonts w:ascii="Arial" w:cs="Arial" w:eastAsia="Arial" w:hAnsi="Arial"/>
          <w:sz w:val="13"/>
          <w:szCs w:val="13"/>
          <w:i w:val="1"/>
          <w:iCs w:val="1"/>
          <w:color w:val="auto"/>
        </w:rPr>
      </w:pPr>
    </w:p>
    <w:p>
      <w:pPr>
        <w:ind w:left="332" w:hanging="332"/>
        <w:spacing w:after="0"/>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Time-Based Equity that vested on February 14, 2026.</w:t>
      </w:r>
    </w:p>
    <w:p>
      <w:pPr>
        <w:spacing w:after="0" w:line="53" w:lineRule="exact"/>
        <w:rPr>
          <w:rFonts w:ascii="Arial" w:cs="Arial" w:eastAsia="Arial" w:hAnsi="Arial"/>
          <w:sz w:val="13"/>
          <w:szCs w:val="13"/>
          <w:i w:val="1"/>
          <w:iCs w:val="1"/>
          <w:color w:val="auto"/>
        </w:rPr>
      </w:pPr>
    </w:p>
    <w:p>
      <w:pPr>
        <w:ind w:left="332" w:hanging="332"/>
        <w:spacing w:after="0"/>
        <w:tabs>
          <w:tab w:leader="none" w:pos="332"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Mr. King’s Modified Options. These were inadvertently omitted from prior Outstanding Equity Awards at Fiscal Year-End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
        <w:spacing w:after="0"/>
        <w:tabs>
          <w:tab w:leader="none" w:pos="391" w:val="left"/>
        </w:tabs>
        <w:rPr>
          <w:sz w:val="20"/>
          <w:szCs w:val="20"/>
          <w:color w:val="auto"/>
        </w:rPr>
      </w:pPr>
      <w:r>
        <w:rPr>
          <w:rFonts w:ascii="Arial" w:cs="Arial" w:eastAsia="Arial" w:hAnsi="Arial"/>
          <w:sz w:val="14"/>
          <w:szCs w:val="14"/>
          <w:b w:val="1"/>
          <w:bCs w:val="1"/>
          <w:color w:val="2C6EC4"/>
        </w:rPr>
        <w:t>50</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52"/>
          </w:cols>
          <w:pgMar w:left="1408" w:top="770" w:right="1439" w:bottom="1440" w:gutter="0" w:footer="0" w:header="0"/>
        </w:sectPr>
      </w:pPr>
    </w:p>
    <w:bookmarkStart w:id="56" w:name="page57"/>
    <w:bookmarkEnd w:id="56"/>
    <w:p>
      <w:pPr>
        <w:ind w:left="60"/>
        <w:spacing w:after="0"/>
        <w:tabs>
          <w:tab w:leader="none" w:pos="56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06. 2025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color w:val="C43776"/>
        </w:rPr>
        <w:t>2025 Option Exercises and Stock Vested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illustrates the number of stock options exercised and stock vested in 2025 for each of the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40" w:type="dxa"/>
            <w:vAlign w:val="bottom"/>
            <w:shd w:val="clear" w:color="auto" w:fill="C43776"/>
          </w:tcPr>
          <w:p>
            <w:pPr>
              <w:spacing w:after="0"/>
              <w:rPr>
                <w:sz w:val="24"/>
                <w:szCs w:val="24"/>
                <w:color w:val="auto"/>
              </w:rPr>
            </w:pPr>
          </w:p>
        </w:tc>
        <w:tc>
          <w:tcPr>
            <w:tcW w:w="3420" w:type="dxa"/>
            <w:vAlign w:val="bottom"/>
            <w:gridSpan w:val="2"/>
            <w:shd w:val="clear" w:color="auto" w:fill="C43776"/>
          </w:tcPr>
          <w:p>
            <w:pPr>
              <w:jc w:val="right"/>
              <w:ind w:right="1028"/>
              <w:spacing w:after="0"/>
              <w:rPr>
                <w:sz w:val="20"/>
                <w:szCs w:val="20"/>
                <w:color w:val="auto"/>
              </w:rPr>
            </w:pPr>
            <w:r>
              <w:rPr>
                <w:rFonts w:ascii="Arial" w:cs="Arial" w:eastAsia="Arial" w:hAnsi="Arial"/>
                <w:sz w:val="14"/>
                <w:szCs w:val="14"/>
                <w:b w:val="1"/>
                <w:bCs w:val="1"/>
                <w:color w:val="FFFFFF"/>
              </w:rPr>
              <w:t>OPTION AWARDS</w:t>
            </w:r>
          </w:p>
        </w:tc>
        <w:tc>
          <w:tcPr>
            <w:tcW w:w="3620" w:type="dxa"/>
            <w:vAlign w:val="bottom"/>
            <w:gridSpan w:val="2"/>
            <w:shd w:val="clear" w:color="auto" w:fill="C43776"/>
          </w:tcPr>
          <w:p>
            <w:pPr>
              <w:jc w:val="right"/>
              <w:ind w:right="1168"/>
              <w:spacing w:after="0"/>
              <w:rPr>
                <w:sz w:val="20"/>
                <w:szCs w:val="20"/>
                <w:color w:val="auto"/>
              </w:rPr>
            </w:pPr>
            <w:r>
              <w:rPr>
                <w:rFonts w:ascii="Arial" w:cs="Arial" w:eastAsia="Arial" w:hAnsi="Arial"/>
                <w:sz w:val="14"/>
                <w:szCs w:val="14"/>
                <w:b w:val="1"/>
                <w:bCs w:val="1"/>
                <w:color w:val="FFFFFF"/>
              </w:rPr>
              <w:t>STOCK AWARDS</w:t>
            </w:r>
          </w:p>
        </w:tc>
      </w:tr>
      <w:tr>
        <w:trPr>
          <w:trHeight w:val="382"/>
        </w:trPr>
        <w:tc>
          <w:tcPr>
            <w:tcW w:w="2040" w:type="dxa"/>
            <w:vAlign w:val="bottom"/>
            <w:shd w:val="clear" w:color="auto" w:fill="C43776"/>
          </w:tcPr>
          <w:p>
            <w:pPr>
              <w:spacing w:after="0"/>
              <w:rPr>
                <w:sz w:val="24"/>
                <w:szCs w:val="24"/>
                <w:color w:val="auto"/>
              </w:rPr>
            </w:pPr>
          </w:p>
        </w:tc>
        <w:tc>
          <w:tcPr>
            <w:tcW w:w="170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72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Value Realized on</w:t>
            </w:r>
          </w:p>
        </w:tc>
        <w:tc>
          <w:tcPr>
            <w:tcW w:w="2000" w:type="dxa"/>
            <w:vAlign w:val="bottom"/>
            <w:shd w:val="clear" w:color="auto" w:fill="C43776"/>
          </w:tcPr>
          <w:p>
            <w:pPr>
              <w:jc w:val="right"/>
              <w:ind w:right="168"/>
              <w:spacing w:after="0"/>
              <w:rPr>
                <w:sz w:val="20"/>
                <w:szCs w:val="20"/>
                <w:color w:val="auto"/>
              </w:rPr>
            </w:pPr>
            <w:r>
              <w:rPr>
                <w:rFonts w:ascii="Arial" w:cs="Arial" w:eastAsia="Arial" w:hAnsi="Arial"/>
                <w:sz w:val="14"/>
                <w:szCs w:val="14"/>
                <w:b w:val="1"/>
                <w:bCs w:val="1"/>
                <w:color w:val="FFFFFF"/>
              </w:rPr>
              <w:t>Number of Shares</w:t>
            </w:r>
          </w:p>
        </w:tc>
        <w:tc>
          <w:tcPr>
            <w:tcW w:w="162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Value Realized on</w:t>
            </w:r>
          </w:p>
        </w:tc>
      </w:tr>
      <w:tr>
        <w:trPr>
          <w:trHeight w:val="160"/>
        </w:trPr>
        <w:tc>
          <w:tcPr>
            <w:tcW w:w="2040" w:type="dxa"/>
            <w:vAlign w:val="bottom"/>
            <w:shd w:val="clear" w:color="auto" w:fill="C43776"/>
          </w:tcPr>
          <w:p>
            <w:pPr>
              <w:spacing w:after="0"/>
              <w:rPr>
                <w:sz w:val="13"/>
                <w:szCs w:val="13"/>
                <w:color w:val="auto"/>
              </w:rPr>
            </w:pPr>
          </w:p>
        </w:tc>
        <w:tc>
          <w:tcPr>
            <w:tcW w:w="1700" w:type="dxa"/>
            <w:vAlign w:val="bottom"/>
            <w:shd w:val="clear" w:color="auto" w:fill="C43776"/>
          </w:tcPr>
          <w:p>
            <w:pPr>
              <w:jc w:val="right"/>
              <w:spacing w:after="0" w:line="159" w:lineRule="exact"/>
              <w:rPr>
                <w:sz w:val="20"/>
                <w:szCs w:val="20"/>
                <w:color w:val="auto"/>
              </w:rPr>
            </w:pPr>
            <w:r>
              <w:rPr>
                <w:rFonts w:ascii="Arial" w:cs="Arial" w:eastAsia="Arial" w:hAnsi="Arial"/>
                <w:sz w:val="14"/>
                <w:szCs w:val="14"/>
                <w:b w:val="1"/>
                <w:bCs w:val="1"/>
                <w:color w:val="FFFFFF"/>
              </w:rPr>
              <w:t>Acquired on Exercise</w:t>
            </w:r>
          </w:p>
        </w:tc>
        <w:tc>
          <w:tcPr>
            <w:tcW w:w="1720" w:type="dxa"/>
            <w:vAlign w:val="bottom"/>
            <w:shd w:val="clear" w:color="auto" w:fill="C43776"/>
          </w:tcPr>
          <w:p>
            <w:pPr>
              <w:jc w:val="right"/>
              <w:spacing w:after="0" w:line="159" w:lineRule="exact"/>
              <w:rPr>
                <w:sz w:val="20"/>
                <w:szCs w:val="20"/>
                <w:color w:val="auto"/>
              </w:rPr>
            </w:pPr>
            <w:r>
              <w:rPr>
                <w:rFonts w:ascii="Arial" w:cs="Arial" w:eastAsia="Arial" w:hAnsi="Arial"/>
                <w:sz w:val="14"/>
                <w:szCs w:val="14"/>
                <w:b w:val="1"/>
                <w:bCs w:val="1"/>
                <w:color w:val="FFFFFF"/>
              </w:rPr>
              <w:t>Exercise</w:t>
            </w:r>
          </w:p>
        </w:tc>
        <w:tc>
          <w:tcPr>
            <w:tcW w:w="2000" w:type="dxa"/>
            <w:vAlign w:val="bottom"/>
            <w:shd w:val="clear" w:color="auto" w:fill="C43776"/>
          </w:tcPr>
          <w:p>
            <w:pPr>
              <w:jc w:val="right"/>
              <w:ind w:right="168"/>
              <w:spacing w:after="0" w:line="159" w:lineRule="exact"/>
              <w:rPr>
                <w:sz w:val="20"/>
                <w:szCs w:val="20"/>
                <w:color w:val="auto"/>
              </w:rPr>
            </w:pPr>
            <w:r>
              <w:rPr>
                <w:rFonts w:ascii="Arial" w:cs="Arial" w:eastAsia="Arial" w:hAnsi="Arial"/>
                <w:sz w:val="14"/>
                <w:szCs w:val="14"/>
                <w:b w:val="1"/>
                <w:bCs w:val="1"/>
                <w:color w:val="FFFFFF"/>
              </w:rPr>
              <w:t>Acquired on Vesting</w:t>
            </w:r>
          </w:p>
        </w:tc>
        <w:tc>
          <w:tcPr>
            <w:tcW w:w="1620" w:type="dxa"/>
            <w:vAlign w:val="bottom"/>
            <w:shd w:val="clear" w:color="auto" w:fill="C43776"/>
          </w:tcPr>
          <w:p>
            <w:pPr>
              <w:jc w:val="right"/>
              <w:ind w:right="68"/>
              <w:spacing w:after="0" w:line="159" w:lineRule="exact"/>
              <w:rPr>
                <w:sz w:val="20"/>
                <w:szCs w:val="20"/>
                <w:color w:val="auto"/>
              </w:rPr>
            </w:pPr>
            <w:r>
              <w:rPr>
                <w:rFonts w:ascii="Arial" w:cs="Arial" w:eastAsia="Arial" w:hAnsi="Arial"/>
                <w:sz w:val="14"/>
                <w:szCs w:val="14"/>
                <w:b w:val="1"/>
                <w:bCs w:val="1"/>
                <w:color w:val="FFFFFF"/>
              </w:rPr>
              <w:t>Vesting</w:t>
            </w:r>
          </w:p>
        </w:tc>
      </w:tr>
      <w:tr>
        <w:trPr>
          <w:trHeight w:val="201"/>
        </w:trPr>
        <w:tc>
          <w:tcPr>
            <w:tcW w:w="204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170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C43776"/>
          </w:tcPr>
          <w:p>
            <w:pPr>
              <w:jc w:val="right"/>
              <w:spacing w:after="0" w:line="20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2000" w:type="dxa"/>
            <w:vAlign w:val="bottom"/>
            <w:shd w:val="clear" w:color="auto" w:fill="C43776"/>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C43776"/>
          </w:tcPr>
          <w:p>
            <w:pPr>
              <w:jc w:val="right"/>
              <w:ind w:right="68"/>
              <w:spacing w:after="0" w:line="20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r>
      <w:tr>
        <w:trPr>
          <w:trHeight w:val="94"/>
        </w:trPr>
        <w:tc>
          <w:tcPr>
            <w:tcW w:w="2040" w:type="dxa"/>
            <w:vAlign w:val="bottom"/>
            <w:shd w:val="clear" w:color="auto" w:fill="C43776"/>
          </w:tcPr>
          <w:p>
            <w:pPr>
              <w:spacing w:after="0"/>
              <w:rPr>
                <w:sz w:val="8"/>
                <w:szCs w:val="8"/>
                <w:color w:val="auto"/>
              </w:rPr>
            </w:pPr>
          </w:p>
        </w:tc>
        <w:tc>
          <w:tcPr>
            <w:tcW w:w="1700" w:type="dxa"/>
            <w:vAlign w:val="bottom"/>
            <w:shd w:val="clear" w:color="auto" w:fill="C43776"/>
          </w:tcPr>
          <w:p>
            <w:pPr>
              <w:spacing w:after="0"/>
              <w:rPr>
                <w:sz w:val="8"/>
                <w:szCs w:val="8"/>
                <w:color w:val="auto"/>
              </w:rPr>
            </w:pPr>
          </w:p>
        </w:tc>
        <w:tc>
          <w:tcPr>
            <w:tcW w:w="1720" w:type="dxa"/>
            <w:vAlign w:val="bottom"/>
            <w:shd w:val="clear" w:color="auto" w:fill="C43776"/>
          </w:tcPr>
          <w:p>
            <w:pPr>
              <w:spacing w:after="0"/>
              <w:rPr>
                <w:sz w:val="8"/>
                <w:szCs w:val="8"/>
                <w:color w:val="auto"/>
              </w:rPr>
            </w:pPr>
          </w:p>
        </w:tc>
        <w:tc>
          <w:tcPr>
            <w:tcW w:w="2000" w:type="dxa"/>
            <w:vAlign w:val="bottom"/>
            <w:shd w:val="clear" w:color="auto" w:fill="C43776"/>
          </w:tcPr>
          <w:p>
            <w:pPr>
              <w:spacing w:after="0"/>
              <w:rPr>
                <w:sz w:val="8"/>
                <w:szCs w:val="8"/>
                <w:color w:val="auto"/>
              </w:rPr>
            </w:pPr>
          </w:p>
        </w:tc>
        <w:tc>
          <w:tcPr>
            <w:tcW w:w="1620" w:type="dxa"/>
            <w:vAlign w:val="bottom"/>
            <w:shd w:val="clear" w:color="auto" w:fill="C43776"/>
          </w:tcPr>
          <w:p>
            <w:pPr>
              <w:spacing w:after="0"/>
              <w:rPr>
                <w:sz w:val="8"/>
                <w:szCs w:val="8"/>
                <w:color w:val="auto"/>
              </w:rPr>
            </w:pPr>
          </w:p>
        </w:tc>
      </w:tr>
      <w:tr>
        <w:trPr>
          <w:trHeight w:val="281"/>
        </w:trPr>
        <w:tc>
          <w:tcPr>
            <w:tcW w:w="2040" w:type="dxa"/>
            <w:vAlign w:val="bottom"/>
          </w:tcPr>
          <w:p>
            <w:pPr>
              <w:ind w:left="140"/>
              <w:spacing w:after="0"/>
              <w:rPr>
                <w:sz w:val="20"/>
                <w:szCs w:val="20"/>
                <w:color w:val="auto"/>
              </w:rPr>
            </w:pPr>
            <w:r>
              <w:rPr>
                <w:rFonts w:ascii="Arial" w:cs="Arial" w:eastAsia="Arial" w:hAnsi="Arial"/>
                <w:sz w:val="14"/>
                <w:szCs w:val="14"/>
                <w:b w:val="1"/>
                <w:bCs w:val="1"/>
                <w:color w:val="auto"/>
              </w:rPr>
              <w:t>Ronald F. Clarke</w:t>
            </w:r>
          </w:p>
        </w:tc>
        <w:tc>
          <w:tcPr>
            <w:tcW w:w="1700" w:type="dxa"/>
            <w:vAlign w:val="bottom"/>
          </w:tcPr>
          <w:p>
            <w:pPr>
              <w:jc w:val="right"/>
              <w:spacing w:after="0"/>
              <w:rPr>
                <w:sz w:val="20"/>
                <w:szCs w:val="20"/>
                <w:color w:val="auto"/>
              </w:rPr>
            </w:pPr>
            <w:r>
              <w:rPr>
                <w:rFonts w:ascii="Arial" w:cs="Arial" w:eastAsia="Arial" w:hAnsi="Arial"/>
                <w:sz w:val="14"/>
                <w:szCs w:val="14"/>
                <w:color w:val="auto"/>
              </w:rPr>
              <w:t>250,000</w:t>
            </w:r>
          </w:p>
        </w:tc>
        <w:tc>
          <w:tcPr>
            <w:tcW w:w="1720" w:type="dxa"/>
            <w:vAlign w:val="bottom"/>
          </w:tcPr>
          <w:p>
            <w:pPr>
              <w:jc w:val="right"/>
              <w:spacing w:after="0"/>
              <w:rPr>
                <w:sz w:val="20"/>
                <w:szCs w:val="20"/>
                <w:color w:val="auto"/>
              </w:rPr>
            </w:pPr>
            <w:r>
              <w:rPr>
                <w:rFonts w:ascii="Arial" w:cs="Arial" w:eastAsia="Arial" w:hAnsi="Arial"/>
                <w:sz w:val="14"/>
                <w:szCs w:val="14"/>
                <w:color w:val="auto"/>
              </w:rPr>
              <w:t>63,128,600</w:t>
            </w:r>
          </w:p>
        </w:tc>
        <w:tc>
          <w:tcPr>
            <w:tcW w:w="2000" w:type="dxa"/>
            <w:vAlign w:val="bottom"/>
          </w:tcPr>
          <w:p>
            <w:pPr>
              <w:jc w:val="right"/>
              <w:ind w:right="168"/>
              <w:spacing w:after="0"/>
              <w:rPr>
                <w:sz w:val="20"/>
                <w:szCs w:val="20"/>
                <w:color w:val="auto"/>
              </w:rPr>
            </w:pPr>
            <w:r>
              <w:rPr>
                <w:rFonts w:ascii="Arial" w:cs="Arial" w:eastAsia="Arial" w:hAnsi="Arial"/>
                <w:sz w:val="14"/>
                <w:szCs w:val="14"/>
                <w:color w:val="auto"/>
              </w:rPr>
              <w:t>21,451</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7,902,763</w:t>
            </w:r>
          </w:p>
        </w:tc>
      </w:tr>
      <w:tr>
        <w:trPr>
          <w:trHeight w:val="43"/>
        </w:trPr>
        <w:tc>
          <w:tcPr>
            <w:tcW w:w="20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304"/>
        </w:trPr>
        <w:tc>
          <w:tcPr>
            <w:tcW w:w="20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17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81"/>
        </w:trPr>
        <w:tc>
          <w:tcPr>
            <w:tcW w:w="2040" w:type="dxa"/>
            <w:vAlign w:val="bottom"/>
          </w:tcPr>
          <w:p>
            <w:pPr>
              <w:ind w:left="140"/>
              <w:spacing w:after="0"/>
              <w:rPr>
                <w:sz w:val="20"/>
                <w:szCs w:val="20"/>
                <w:color w:val="auto"/>
              </w:rPr>
            </w:pPr>
            <w:r>
              <w:rPr>
                <w:rFonts w:ascii="Arial" w:cs="Arial" w:eastAsia="Arial" w:hAnsi="Arial"/>
                <w:sz w:val="14"/>
                <w:szCs w:val="14"/>
                <w:b w:val="1"/>
                <w:bCs w:val="1"/>
                <w:color w:val="auto"/>
              </w:rPr>
              <w:t>Tom Panther</w:t>
            </w:r>
          </w:p>
        </w:tc>
        <w:tc>
          <w:tcPr>
            <w:tcW w:w="1700" w:type="dxa"/>
            <w:vAlign w:val="bottom"/>
          </w:tcPr>
          <w:p>
            <w:pPr>
              <w:jc w:val="right"/>
              <w:spacing w:after="0"/>
              <w:rPr>
                <w:sz w:val="20"/>
                <w:szCs w:val="20"/>
                <w:color w:val="auto"/>
              </w:rPr>
            </w:pPr>
            <w:r>
              <w:rPr>
                <w:rFonts w:ascii="Arial" w:cs="Arial" w:eastAsia="Arial" w:hAnsi="Arial"/>
                <w:sz w:val="14"/>
                <w:szCs w:val="14"/>
                <w:color w:val="auto"/>
              </w:rPr>
              <w:t>7,379</w:t>
            </w:r>
          </w:p>
        </w:tc>
        <w:tc>
          <w:tcPr>
            <w:tcW w:w="1720" w:type="dxa"/>
            <w:vAlign w:val="bottom"/>
          </w:tcPr>
          <w:p>
            <w:pPr>
              <w:jc w:val="right"/>
              <w:spacing w:after="0"/>
              <w:rPr>
                <w:sz w:val="20"/>
                <w:szCs w:val="20"/>
                <w:color w:val="auto"/>
              </w:rPr>
            </w:pPr>
            <w:r>
              <w:rPr>
                <w:rFonts w:ascii="Arial" w:cs="Arial" w:eastAsia="Arial" w:hAnsi="Arial"/>
                <w:sz w:val="14"/>
                <w:szCs w:val="14"/>
                <w:color w:val="auto"/>
              </w:rPr>
              <w:t>738,970</w:t>
            </w:r>
          </w:p>
        </w:tc>
        <w:tc>
          <w:tcPr>
            <w:tcW w:w="2000" w:type="dxa"/>
            <w:vAlign w:val="bottom"/>
          </w:tcPr>
          <w:p>
            <w:pPr>
              <w:jc w:val="right"/>
              <w:ind w:right="168"/>
              <w:spacing w:after="0"/>
              <w:rPr>
                <w:sz w:val="20"/>
                <w:szCs w:val="20"/>
                <w:color w:val="auto"/>
              </w:rPr>
            </w:pPr>
            <w:r>
              <w:rPr>
                <w:rFonts w:ascii="Arial" w:cs="Arial" w:eastAsia="Arial" w:hAnsi="Arial"/>
                <w:sz w:val="14"/>
                <w:szCs w:val="14"/>
                <w:color w:val="auto"/>
              </w:rPr>
              <w:t>4,525</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1,673,215</w:t>
            </w:r>
          </w:p>
        </w:tc>
      </w:tr>
      <w:tr>
        <w:trPr>
          <w:trHeight w:val="43"/>
        </w:trPr>
        <w:tc>
          <w:tcPr>
            <w:tcW w:w="20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304"/>
        </w:trPr>
        <w:tc>
          <w:tcPr>
            <w:tcW w:w="20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Alissa B. Vickery</w:t>
            </w:r>
          </w:p>
        </w:tc>
        <w:tc>
          <w:tcPr>
            <w:tcW w:w="17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2,118</w:t>
            </w:r>
          </w:p>
        </w:tc>
        <w:tc>
          <w:tcPr>
            <w:tcW w:w="162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740,242</w:t>
            </w:r>
          </w:p>
        </w:tc>
      </w:tr>
      <w:tr>
        <w:trPr>
          <w:trHeight w:val="281"/>
        </w:trPr>
        <w:tc>
          <w:tcPr>
            <w:tcW w:w="2040" w:type="dxa"/>
            <w:vAlign w:val="bottom"/>
          </w:tcPr>
          <w:p>
            <w:pPr>
              <w:ind w:left="140"/>
              <w:spacing w:after="0"/>
              <w:rPr>
                <w:sz w:val="20"/>
                <w:szCs w:val="20"/>
                <w:color w:val="auto"/>
              </w:rPr>
            </w:pPr>
            <w:r>
              <w:rPr>
                <w:rFonts w:ascii="Arial" w:cs="Arial" w:eastAsia="Arial" w:hAnsi="Arial"/>
                <w:sz w:val="14"/>
                <w:szCs w:val="14"/>
                <w:b w:val="1"/>
                <w:bCs w:val="1"/>
                <w:color w:val="auto"/>
              </w:rPr>
              <w:t>Armando L. Netto</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168"/>
              <w:spacing w:after="0"/>
              <w:rPr>
                <w:sz w:val="20"/>
                <w:szCs w:val="20"/>
                <w:color w:val="auto"/>
              </w:rPr>
            </w:pPr>
            <w:r>
              <w:rPr>
                <w:rFonts w:ascii="Arial" w:cs="Arial" w:eastAsia="Arial" w:hAnsi="Arial"/>
                <w:sz w:val="14"/>
                <w:szCs w:val="14"/>
                <w:color w:val="auto"/>
              </w:rPr>
              <w:t>14,855</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5,299,520</w:t>
            </w:r>
          </w:p>
        </w:tc>
      </w:tr>
      <w:tr>
        <w:trPr>
          <w:trHeight w:val="43"/>
        </w:trPr>
        <w:tc>
          <w:tcPr>
            <w:tcW w:w="20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304"/>
        </w:trPr>
        <w:tc>
          <w:tcPr>
            <w:tcW w:w="20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b w:val="1"/>
                <w:bCs w:val="1"/>
                <w:color w:val="auto"/>
              </w:rPr>
              <w:t>Alan King</w:t>
            </w:r>
          </w:p>
        </w:tc>
        <w:tc>
          <w:tcPr>
            <w:tcW w:w="17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8,491</w:t>
            </w:r>
          </w:p>
        </w:tc>
        <w:tc>
          <w:tcPr>
            <w:tcW w:w="162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3,160,515</w:t>
            </w:r>
          </w:p>
        </w:tc>
      </w:tr>
      <w:tr>
        <w:trPr>
          <w:trHeight w:val="20"/>
        </w:trPr>
        <w:tc>
          <w:tcPr>
            <w:tcW w:w="2040" w:type="dxa"/>
            <w:vAlign w:val="bottom"/>
            <w:shd w:val="clear" w:color="auto" w:fill="C43776"/>
          </w:tcPr>
          <w:p>
            <w:pPr>
              <w:spacing w:after="0" w:line="20" w:lineRule="exact"/>
              <w:rPr>
                <w:sz w:val="1"/>
                <w:szCs w:val="1"/>
                <w:color w:val="auto"/>
              </w:rPr>
            </w:pPr>
          </w:p>
        </w:tc>
        <w:tc>
          <w:tcPr>
            <w:tcW w:w="1700" w:type="dxa"/>
            <w:vAlign w:val="bottom"/>
            <w:shd w:val="clear" w:color="auto" w:fill="C43776"/>
          </w:tcPr>
          <w:p>
            <w:pPr>
              <w:spacing w:after="0" w:line="20" w:lineRule="exact"/>
              <w:rPr>
                <w:sz w:val="1"/>
                <w:szCs w:val="1"/>
                <w:color w:val="auto"/>
              </w:rPr>
            </w:pPr>
          </w:p>
        </w:tc>
        <w:tc>
          <w:tcPr>
            <w:tcW w:w="1720" w:type="dxa"/>
            <w:vAlign w:val="bottom"/>
            <w:shd w:val="clear" w:color="auto" w:fill="C43776"/>
          </w:tcPr>
          <w:p>
            <w:pPr>
              <w:spacing w:after="0" w:line="20" w:lineRule="exact"/>
              <w:rPr>
                <w:sz w:val="1"/>
                <w:szCs w:val="1"/>
                <w:color w:val="auto"/>
              </w:rPr>
            </w:pPr>
          </w:p>
        </w:tc>
        <w:tc>
          <w:tcPr>
            <w:tcW w:w="2000" w:type="dxa"/>
            <w:vAlign w:val="bottom"/>
            <w:shd w:val="clear" w:color="auto" w:fill="C43776"/>
          </w:tcPr>
          <w:p>
            <w:pPr>
              <w:spacing w:after="0" w:line="20" w:lineRule="exact"/>
              <w:rPr>
                <w:sz w:val="1"/>
                <w:szCs w:val="1"/>
                <w:color w:val="auto"/>
              </w:rPr>
            </w:pPr>
          </w:p>
        </w:tc>
        <w:tc>
          <w:tcPr>
            <w:tcW w:w="1620" w:type="dxa"/>
            <w:vAlign w:val="bottom"/>
            <w:shd w:val="clear" w:color="auto" w:fill="C43776"/>
          </w:tcPr>
          <w:p>
            <w:pPr>
              <w:spacing w:after="0" w:line="20" w:lineRule="exact"/>
              <w:rPr>
                <w:sz w:val="1"/>
                <w:szCs w:val="1"/>
                <w:color w:val="auto"/>
              </w:rPr>
            </w:pPr>
          </w:p>
        </w:tc>
      </w:tr>
    </w:tbl>
    <w:p>
      <w:pPr>
        <w:spacing w:after="0" w:line="106" w:lineRule="exact"/>
        <w:rPr>
          <w:sz w:val="20"/>
          <w:szCs w:val="20"/>
          <w:color w:val="auto"/>
        </w:rPr>
      </w:pPr>
    </w:p>
    <w:p>
      <w:pPr>
        <w:ind w:left="340" w:right="180" w:hanging="332"/>
        <w:spacing w:after="0" w:line="246" w:lineRule="auto"/>
        <w:tabs>
          <w:tab w:leader="none" w:pos="34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Value realized with respect to (i) option awards is the excess of the price of our common shares on the New York Stock Exchange at the time of exercise over the exercise price and (ii) stock awards is the closing price of our common shares on the New York Stock Exchange on the business day prior to the vesting date. There is no guarantee the NEOs actually received or will receive the value indicated upon the ultimate disposition of the underlying shares of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40"/>
        <w:spacing w:after="0"/>
        <w:tabs>
          <w:tab w:leader="none" w:pos="18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51</w:t>
      </w:r>
    </w:p>
    <w:p>
      <w:pPr>
        <w:sectPr>
          <w:pgSz w:w="11900" w:h="16838" w:orient="portrait"/>
          <w:cols w:equalWidth="0" w:num="1">
            <w:col w:w="9080"/>
          </w:cols>
          <w:pgMar w:left="1400" w:top="729" w:right="1419" w:bottom="1440" w:gutter="0" w:footer="0" w:header="0"/>
        </w:sectPr>
      </w:pPr>
    </w:p>
    <w:bookmarkStart w:id="57" w:name="page58"/>
    <w:bookmarkEnd w:id="57"/>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06. 2025 NAMED EXECUTIVE OFFICER COMPENSATION</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C43776"/>
        </w:rPr>
        <w:t>Potential Payments Upon Termination or Change in Control</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Employment Agreements, Severance and Change in Control Benefits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Ronald F. Clarke</w:t>
      </w:r>
    </w:p>
    <w:p>
      <w:pPr>
        <w:spacing w:after="0" w:line="179" w:lineRule="exact"/>
        <w:rPr>
          <w:sz w:val="20"/>
          <w:szCs w:val="20"/>
          <w:color w:val="auto"/>
        </w:rPr>
      </w:pPr>
    </w:p>
    <w:p>
      <w:pPr>
        <w:ind w:left="340" w:hanging="251"/>
        <w:spacing w:after="0"/>
        <w:tabs>
          <w:tab w:leader="none" w:pos="340" w:val="left"/>
        </w:tabs>
        <w:numPr>
          <w:ilvl w:val="0"/>
          <w:numId w:val="57"/>
        </w:numPr>
        <w:rPr>
          <w:rFonts w:ascii="Arial" w:cs="Arial" w:eastAsia="Arial" w:hAnsi="Arial"/>
          <w:sz w:val="11"/>
          <w:szCs w:val="11"/>
          <w:color w:val="BE1549"/>
        </w:rPr>
      </w:pPr>
      <w:r>
        <w:rPr>
          <w:rFonts w:ascii="Arial" w:cs="Arial" w:eastAsia="Arial" w:hAnsi="Arial"/>
          <w:sz w:val="16"/>
          <w:szCs w:val="16"/>
          <w:color w:val="auto"/>
        </w:rPr>
        <w:t>We entered into an employment agreement with Mr. Clarke in 2010, the key terms of which are:</w:t>
      </w:r>
    </w:p>
    <w:p>
      <w:pPr>
        <w:spacing w:after="0" w:line="21" w:lineRule="exact"/>
        <w:rPr>
          <w:rFonts w:ascii="Arial" w:cs="Arial" w:eastAsia="Arial" w:hAnsi="Arial"/>
          <w:sz w:val="11"/>
          <w:szCs w:val="11"/>
          <w:color w:val="BE1549"/>
        </w:rPr>
      </w:pPr>
    </w:p>
    <w:p>
      <w:pPr>
        <w:ind w:left="340" w:right="20" w:hanging="251"/>
        <w:spacing w:after="0" w:line="252" w:lineRule="auto"/>
        <w:tabs>
          <w:tab w:leader="none" w:pos="340" w:val="left"/>
        </w:tabs>
        <w:numPr>
          <w:ilvl w:val="0"/>
          <w:numId w:val="57"/>
        </w:numPr>
        <w:rPr>
          <w:rFonts w:ascii="Arial" w:cs="Arial" w:eastAsia="Arial" w:hAnsi="Arial"/>
          <w:sz w:val="11"/>
          <w:szCs w:val="11"/>
          <w:color w:val="BE1549"/>
        </w:rPr>
      </w:pPr>
      <w:r>
        <w:rPr>
          <w:rFonts w:ascii="Arial" w:cs="Arial" w:eastAsia="Arial" w:hAnsi="Arial"/>
          <w:sz w:val="16"/>
          <w:szCs w:val="16"/>
          <w:color w:val="auto"/>
        </w:rPr>
        <w:t>The agreement term automatically renews for successive one-year periods unless we provide notice at least 30 days prior to the expiration date.</w:t>
      </w:r>
    </w:p>
    <w:p>
      <w:pPr>
        <w:spacing w:after="0" w:line="1" w:lineRule="exact"/>
        <w:rPr>
          <w:rFonts w:ascii="Arial" w:cs="Arial" w:eastAsia="Arial" w:hAnsi="Arial"/>
          <w:sz w:val="11"/>
          <w:szCs w:val="11"/>
          <w:color w:val="BE1549"/>
        </w:rPr>
      </w:pPr>
    </w:p>
    <w:p>
      <w:pPr>
        <w:ind w:left="340" w:hanging="251"/>
        <w:spacing w:after="0"/>
        <w:tabs>
          <w:tab w:leader="none" w:pos="340" w:val="left"/>
        </w:tabs>
        <w:numPr>
          <w:ilvl w:val="0"/>
          <w:numId w:val="57"/>
        </w:numPr>
        <w:rPr>
          <w:rFonts w:ascii="Arial" w:cs="Arial" w:eastAsia="Arial" w:hAnsi="Arial"/>
          <w:sz w:val="11"/>
          <w:szCs w:val="11"/>
          <w:color w:val="BE1549"/>
        </w:rPr>
      </w:pPr>
      <w:r>
        <w:rPr>
          <w:rFonts w:ascii="Arial" w:cs="Arial" w:eastAsia="Arial" w:hAnsi="Arial"/>
          <w:sz w:val="16"/>
          <w:szCs w:val="16"/>
          <w:color w:val="auto"/>
        </w:rPr>
        <w:t>Mr. Clarke is entitled to an annual base salary of at least $687,500.</w:t>
      </w:r>
    </w:p>
    <w:p>
      <w:pPr>
        <w:spacing w:after="0" w:line="8" w:lineRule="exact"/>
        <w:rPr>
          <w:rFonts w:ascii="Arial" w:cs="Arial" w:eastAsia="Arial" w:hAnsi="Arial"/>
          <w:sz w:val="11"/>
          <w:szCs w:val="11"/>
          <w:color w:val="BE1549"/>
        </w:rPr>
      </w:pPr>
    </w:p>
    <w:p>
      <w:pPr>
        <w:ind w:left="340" w:right="20" w:hanging="251"/>
        <w:spacing w:after="0" w:line="254" w:lineRule="auto"/>
        <w:tabs>
          <w:tab w:leader="none" w:pos="340" w:val="left"/>
        </w:tabs>
        <w:numPr>
          <w:ilvl w:val="0"/>
          <w:numId w:val="57"/>
        </w:numPr>
        <w:rPr>
          <w:rFonts w:ascii="Arial" w:cs="Arial" w:eastAsia="Arial" w:hAnsi="Arial"/>
          <w:sz w:val="11"/>
          <w:szCs w:val="11"/>
          <w:color w:val="BE1549"/>
        </w:rPr>
      </w:pPr>
      <w:r>
        <w:rPr>
          <w:rFonts w:ascii="Arial" w:cs="Arial" w:eastAsia="Arial" w:hAnsi="Arial"/>
          <w:sz w:val="16"/>
          <w:szCs w:val="16"/>
          <w:color w:val="auto"/>
        </w:rPr>
        <w:t>If we terminate Mr. Clarke’s employment other than for “cause” (as defined below), including through non-renewal of the agreement, Mr. Clarke will receive (1) cash severance payments, in equal monthly installments over 12 months, in an amount equal to 150% of his then-current annual base salary plus any accrued and unpaid vacation, (2) payment of his health insurance premiums for coverage under COBRA in amounts equal to those made immediately prior to his termination until, at his election, the earlier of the expiration of the severance period or his commencement of employment with another employer and (3) continuation of coverage during the severance period under our life and disability insurance plans, if permitted by the terms of the plans.</w:t>
      </w:r>
    </w:p>
    <w:p>
      <w:pPr>
        <w:ind w:left="340" w:right="180" w:hanging="251"/>
        <w:spacing w:after="0" w:line="264" w:lineRule="auto"/>
        <w:tabs>
          <w:tab w:leader="none" w:pos="340" w:val="left"/>
        </w:tabs>
        <w:numPr>
          <w:ilvl w:val="0"/>
          <w:numId w:val="57"/>
        </w:numPr>
        <w:rPr>
          <w:rFonts w:ascii="Arial" w:cs="Arial" w:eastAsia="Arial" w:hAnsi="Arial"/>
          <w:sz w:val="11"/>
          <w:szCs w:val="11"/>
          <w:color w:val="BE1549"/>
        </w:rPr>
      </w:pPr>
      <w:r>
        <w:rPr>
          <w:rFonts w:ascii="Arial" w:cs="Arial" w:eastAsia="Arial" w:hAnsi="Arial"/>
          <w:sz w:val="16"/>
          <w:szCs w:val="16"/>
          <w:color w:val="auto"/>
        </w:rPr>
        <w:t>The employment agreement includes customary non-competition and non-solicitation provisions that apply during his employment with the Company and for one year thereafter, as well as customary confidentiality and intellectual property provisions and a mutual non-disparagement provision.</w:t>
      </w:r>
    </w:p>
    <w:p>
      <w:pPr>
        <w:spacing w:after="0" w:line="11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“Cause” is defined, in general, to mean: Mr. Clarke’s (1) failure to render services to us, (2) commission of an act of disloyalty, gross negligence, dishonesty or breach of fiduciary duty, (3) material breach of the agreement, (4) commission of any crime or act of fraud or embezzlement, (5) misappropriation of our assets, (6) violation of material policies, (7) commission of acts generating material adverse publicity toward us, (8) commission or conviction of a felony, or (9) death or inability due to disability to perform his essential job functions for a period of three consecutive months.</w:t>
      </w:r>
    </w:p>
    <w:p>
      <w:pPr>
        <w:spacing w:after="0" w:line="11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“Good reason” is defined to mean, following a change in control, and without Mr. Clarke’s written consent: (1) a significant diminution in the nature and scope of his authority, duties or responsibilities; (2) a reduction in his annual base salary or total compensation and benefits in the amount of 10% or more; (3) his principal place of employment is relocated to a place that is more than 25 miles from the prior principal place of employment; or (4) he is required to be away from his office 25% more than was required prior to the change in control.</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“Change in control” for purposes of Mr. Clarke’s employment agreement generally has the meaning given to such term in our 2010 Equity Compensation Plan (the “2010 Plan”), which generally means any of the following: (1) the sale by the Company of all or substantially all of its assets or the consummation by the Company of any merger, consolidation, reorganization, or business combination with any person that results in a substantial change in ownership or leadership, as further described in the definition; (2) the acquisition directly or indirectly by any person or group of beneficial ownership of securities entitled to vote generally in the election of directors of the Company that represent 30% or more of the combined voting power of the Company’s then-outstanding voting securities, subject to certain exceptions as described in the definition; (3) turnover of a majority of the Board, subject to certain exceptions; and (4) the approval by the Company’s shareholders of a liquidation or dissolution of the Company, subject to certain exceptions.</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color w:val="auto"/>
        </w:rPr>
        <w:t>Other NEOs</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provided offer letters to Messrs. Walker, Netto and King (and, during his employment, Mr. Panther) in connection with their hiring or promotion. As a matter of policy, if any of our NEOs, other than Mr. Clarke, is terminated by us for any reason other than for cause, we will (1) pay cash severance in the amount of one year of continuation of their then-current base salary and</w:t>
      </w:r>
    </w:p>
    <w:p>
      <w:pPr>
        <w:spacing w:after="0" w:line="1" w:lineRule="exact"/>
        <w:rPr>
          <w:sz w:val="20"/>
          <w:szCs w:val="20"/>
          <w:color w:val="auto"/>
        </w:rPr>
      </w:pPr>
    </w:p>
    <w:p>
      <w:pPr>
        <w:ind w:right="100" w:firstLine="8"/>
        <w:spacing w:after="0" w:line="264" w:lineRule="auto"/>
        <w:tabs>
          <w:tab w:leader="none" w:pos="2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health benefits for one year, each upon execution of a general release. If such termination occurs due to a change in control, we will also pay his or her annual bonus for the year of termination, if applicable, at the target level. Mr. Panther resigned from the Company effective March 15, 2025, and he was not entitled to any severance compensation or enhanced benefits in connection with such resignation.</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auto"/>
        </w:rPr>
        <w:t>Equity Awards</w:t>
      </w:r>
    </w:p>
    <w:p>
      <w:pPr>
        <w:spacing w:after="0" w:line="1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NEOs also have rights under outstanding equity awards, which will accelerate as follows: (1) if there is a change in control and (a) the award is not continued in full force and effect or there is no assumption or substitution of the award (as described in the applicable award agreement) in connection with such change in control or (b) the NEO is terminated without cause (as defined in the 2010 Plan) or resigns for good reason (as defined in the 2010 Plan) within two years following the change in control, unvested equity awards will accelerate (a “double trigger”); (2) in the event of retirement, death or disability, other than</w:t>
      </w:r>
    </w:p>
    <w:p>
      <w:pPr>
        <w:spacing w:after="0" w:line="200" w:lineRule="exact"/>
        <w:rPr>
          <w:sz w:val="20"/>
          <w:szCs w:val="20"/>
          <w:color w:val="auto"/>
        </w:rPr>
      </w:pPr>
    </w:p>
    <w:p>
      <w:pPr>
        <w:spacing w:after="0" w:line="247"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52</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70" w:right="1419" w:bottom="1440" w:gutter="0" w:footer="0" w:header="0"/>
        </w:sectPr>
      </w:pPr>
    </w:p>
    <w:bookmarkStart w:id="58" w:name="page59"/>
    <w:bookmarkEnd w:id="58"/>
    <w:p>
      <w:pPr>
        <w:ind w:left="60"/>
        <w:spacing w:after="0"/>
        <w:tabs>
          <w:tab w:leader="none" w:pos="56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06. 2025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for Mr. Clarke, all unvested equity awards that are scheduled to vest in the year in which the retirement, death or disability occurs will vest (with the remainder being forfeited).</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auto"/>
        </w:rPr>
        <w:t>Quantification of Potential Payments</w:t>
      </w:r>
    </w:p>
    <w:p>
      <w:pPr>
        <w:spacing w:after="0" w:line="13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table below illustrates the potential payments to the NEOs (other than Mr. Panther, who was not entitled to any severance compensation or enhanced benefits in connection with his resignation) upon a termination of employment in various circumstances, including in connection with a change in control. In preparing the table, we assumed the triggering event occurred on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040" w:type="dxa"/>
            <w:vAlign w:val="bottom"/>
            <w:shd w:val="clear" w:color="auto" w:fill="C43776"/>
          </w:tcPr>
          <w:p>
            <w:pPr>
              <w:spacing w:after="0"/>
              <w:rPr>
                <w:sz w:val="24"/>
                <w:szCs w:val="24"/>
                <w:color w:val="auto"/>
              </w:rPr>
            </w:pPr>
          </w:p>
        </w:tc>
        <w:tc>
          <w:tcPr>
            <w:tcW w:w="116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Severance</w:t>
            </w:r>
          </w:p>
        </w:tc>
        <w:tc>
          <w:tcPr>
            <w:tcW w:w="1720" w:type="dxa"/>
            <w:vAlign w:val="bottom"/>
            <w:shd w:val="clear" w:color="auto" w:fill="C43776"/>
          </w:tcPr>
          <w:p>
            <w:pPr>
              <w:jc w:val="right"/>
              <w:ind w:right="208"/>
              <w:spacing w:after="0"/>
              <w:rPr>
                <w:sz w:val="20"/>
                <w:szCs w:val="20"/>
                <w:color w:val="auto"/>
              </w:rPr>
            </w:pPr>
            <w:r>
              <w:rPr>
                <w:rFonts w:ascii="Arial" w:cs="Arial" w:eastAsia="Arial" w:hAnsi="Arial"/>
                <w:sz w:val="14"/>
                <w:szCs w:val="14"/>
                <w:b w:val="1"/>
                <w:bCs w:val="1"/>
                <w:color w:val="FFFFFF"/>
              </w:rPr>
              <w:t>Accelerated Vesting</w:t>
            </w:r>
          </w:p>
        </w:tc>
        <w:tc>
          <w:tcPr>
            <w:tcW w:w="1300" w:type="dxa"/>
            <w:vAlign w:val="bottom"/>
            <w:shd w:val="clear" w:color="auto" w:fill="C43776"/>
          </w:tcPr>
          <w:p>
            <w:pPr>
              <w:spacing w:after="0"/>
              <w:rPr>
                <w:sz w:val="24"/>
                <w:szCs w:val="24"/>
                <w:color w:val="auto"/>
              </w:rPr>
            </w:pPr>
          </w:p>
        </w:tc>
        <w:tc>
          <w:tcPr>
            <w:tcW w:w="840" w:type="dxa"/>
            <w:vAlign w:val="bottom"/>
            <w:shd w:val="clear" w:color="auto" w:fill="C43776"/>
          </w:tcPr>
          <w:p>
            <w:pPr>
              <w:spacing w:after="0"/>
              <w:rPr>
                <w:sz w:val="24"/>
                <w:szCs w:val="24"/>
                <w:color w:val="auto"/>
              </w:rPr>
            </w:pPr>
          </w:p>
        </w:tc>
      </w:tr>
      <w:tr>
        <w:trPr>
          <w:trHeight w:val="191"/>
        </w:trPr>
        <w:tc>
          <w:tcPr>
            <w:tcW w:w="4040" w:type="dxa"/>
            <w:vAlign w:val="bottom"/>
            <w:shd w:val="clear" w:color="auto" w:fill="C43776"/>
          </w:tcPr>
          <w:p>
            <w:pPr>
              <w:spacing w:after="0"/>
              <w:rPr>
                <w:sz w:val="16"/>
                <w:szCs w:val="16"/>
                <w:color w:val="auto"/>
              </w:rPr>
            </w:pPr>
          </w:p>
        </w:tc>
        <w:tc>
          <w:tcPr>
            <w:tcW w:w="1160" w:type="dxa"/>
            <w:vAlign w:val="bottom"/>
            <w:shd w:val="clear" w:color="auto" w:fill="C43776"/>
          </w:tcPr>
          <w:p>
            <w:pPr>
              <w:jc w:val="right"/>
              <w:spacing w:after="0" w:line="191" w:lineRule="exact"/>
              <w:rPr>
                <w:sz w:val="20"/>
                <w:szCs w:val="20"/>
                <w:color w:val="auto"/>
              </w:rPr>
            </w:pPr>
            <w:r>
              <w:rPr>
                <w:rFonts w:ascii="Arial" w:cs="Arial" w:eastAsia="Arial" w:hAnsi="Arial"/>
                <w:sz w:val="14"/>
                <w:szCs w:val="14"/>
                <w:b w:val="1"/>
                <w:bCs w:val="1"/>
                <w:color w:val="FFFFFF"/>
              </w:rPr>
              <w:t>Amount</w:t>
            </w:r>
            <w:r>
              <w:rPr>
                <w:rFonts w:ascii="Arial" w:cs="Arial" w:eastAsia="Arial" w:hAnsi="Arial"/>
                <w:sz w:val="18"/>
                <w:szCs w:val="18"/>
                <w:b w:val="1"/>
                <w:bCs w:val="1"/>
                <w:color w:val="FFFFFF"/>
                <w:vertAlign w:val="superscript"/>
              </w:rPr>
              <w:t>(1)</w:t>
            </w:r>
          </w:p>
        </w:tc>
        <w:tc>
          <w:tcPr>
            <w:tcW w:w="1720" w:type="dxa"/>
            <w:vAlign w:val="bottom"/>
            <w:shd w:val="clear" w:color="auto" w:fill="C43776"/>
          </w:tcPr>
          <w:p>
            <w:pPr>
              <w:jc w:val="right"/>
              <w:ind w:right="188"/>
              <w:spacing w:after="0" w:line="191" w:lineRule="exact"/>
              <w:rPr>
                <w:sz w:val="20"/>
                <w:szCs w:val="20"/>
                <w:color w:val="auto"/>
              </w:rPr>
            </w:pPr>
            <w:r>
              <w:rPr>
                <w:rFonts w:ascii="Arial" w:cs="Arial" w:eastAsia="Arial" w:hAnsi="Arial"/>
                <w:sz w:val="14"/>
                <w:szCs w:val="14"/>
                <w:b w:val="1"/>
                <w:bCs w:val="1"/>
                <w:color w:val="FFFFFF"/>
              </w:rPr>
              <w:t>of Equity Awards</w:t>
            </w:r>
            <w:r>
              <w:rPr>
                <w:rFonts w:ascii="Arial" w:cs="Arial" w:eastAsia="Arial" w:hAnsi="Arial"/>
                <w:sz w:val="18"/>
                <w:szCs w:val="18"/>
                <w:b w:val="1"/>
                <w:bCs w:val="1"/>
                <w:color w:val="FFFFFF"/>
                <w:vertAlign w:val="superscript"/>
              </w:rPr>
              <w:t>(2)</w:t>
            </w:r>
          </w:p>
        </w:tc>
        <w:tc>
          <w:tcPr>
            <w:tcW w:w="1300" w:type="dxa"/>
            <w:vAlign w:val="bottom"/>
            <w:shd w:val="clear" w:color="auto" w:fill="C43776"/>
          </w:tcPr>
          <w:p>
            <w:pPr>
              <w:jc w:val="right"/>
              <w:ind w:right="288"/>
              <w:spacing w:after="0" w:line="191"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18"/>
                <w:szCs w:val="18"/>
                <w:b w:val="1"/>
                <w:bCs w:val="1"/>
                <w:color w:val="FFFFFF"/>
                <w:vertAlign w:val="superscript"/>
              </w:rPr>
              <w:t>(3)</w:t>
            </w:r>
          </w:p>
        </w:tc>
        <w:tc>
          <w:tcPr>
            <w:tcW w:w="84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Total</w:t>
            </w:r>
          </w:p>
        </w:tc>
      </w:tr>
      <w:tr>
        <w:trPr>
          <w:trHeight w:val="185"/>
        </w:trPr>
        <w:tc>
          <w:tcPr>
            <w:tcW w:w="4040" w:type="dxa"/>
            <w:vAlign w:val="bottom"/>
            <w:shd w:val="clear" w:color="auto" w:fill="C43776"/>
          </w:tcPr>
          <w:p>
            <w:pPr>
              <w:ind w:left="14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C43776"/>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C43776"/>
          </w:tcPr>
          <w:p>
            <w:pPr>
              <w:jc w:val="right"/>
              <w:ind w:right="28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4"/>
        </w:trPr>
        <w:tc>
          <w:tcPr>
            <w:tcW w:w="4040" w:type="dxa"/>
            <w:vAlign w:val="bottom"/>
            <w:shd w:val="clear" w:color="auto" w:fill="C43776"/>
          </w:tcPr>
          <w:p>
            <w:pPr>
              <w:spacing w:after="0"/>
              <w:rPr>
                <w:sz w:val="8"/>
                <w:szCs w:val="8"/>
                <w:color w:val="auto"/>
              </w:rPr>
            </w:pPr>
          </w:p>
        </w:tc>
        <w:tc>
          <w:tcPr>
            <w:tcW w:w="1160" w:type="dxa"/>
            <w:vAlign w:val="bottom"/>
            <w:shd w:val="clear" w:color="auto" w:fill="C43776"/>
          </w:tcPr>
          <w:p>
            <w:pPr>
              <w:spacing w:after="0"/>
              <w:rPr>
                <w:sz w:val="8"/>
                <w:szCs w:val="8"/>
                <w:color w:val="auto"/>
              </w:rPr>
            </w:pPr>
          </w:p>
        </w:tc>
        <w:tc>
          <w:tcPr>
            <w:tcW w:w="1720" w:type="dxa"/>
            <w:vAlign w:val="bottom"/>
            <w:shd w:val="clear" w:color="auto" w:fill="C43776"/>
          </w:tcPr>
          <w:p>
            <w:pPr>
              <w:spacing w:after="0"/>
              <w:rPr>
                <w:sz w:val="8"/>
                <w:szCs w:val="8"/>
                <w:color w:val="auto"/>
              </w:rPr>
            </w:pPr>
          </w:p>
        </w:tc>
        <w:tc>
          <w:tcPr>
            <w:tcW w:w="1300" w:type="dxa"/>
            <w:vAlign w:val="bottom"/>
            <w:shd w:val="clear" w:color="auto" w:fill="C43776"/>
          </w:tcPr>
          <w:p>
            <w:pPr>
              <w:spacing w:after="0"/>
              <w:rPr>
                <w:sz w:val="8"/>
                <w:szCs w:val="8"/>
                <w:color w:val="auto"/>
              </w:rPr>
            </w:pPr>
          </w:p>
        </w:tc>
        <w:tc>
          <w:tcPr>
            <w:tcW w:w="840" w:type="dxa"/>
            <w:vAlign w:val="bottom"/>
            <w:shd w:val="clear" w:color="auto" w:fill="C43776"/>
          </w:tcPr>
          <w:p>
            <w:pPr>
              <w:spacing w:after="0"/>
              <w:rPr>
                <w:sz w:val="8"/>
                <w:szCs w:val="8"/>
                <w:color w:val="auto"/>
              </w:rPr>
            </w:pPr>
          </w:p>
        </w:tc>
      </w:tr>
    </w:tbl>
    <w:p>
      <w:pPr>
        <w:spacing w:after="0" w:line="31" w:lineRule="exact"/>
        <w:rPr>
          <w:sz w:val="20"/>
          <w:szCs w:val="20"/>
          <w:color w:val="auto"/>
        </w:rPr>
      </w:pPr>
    </w:p>
    <w:p>
      <w:pPr>
        <w:sectPr>
          <w:pgSz w:w="11900" w:h="16838" w:orient="portrait"/>
          <w:cols w:equalWidth="0" w:num="1">
            <w:col w:w="9060"/>
          </w:cols>
          <w:pgMar w:left="1400" w:top="729" w:right="1439" w:bottom="1440" w:gutter="0" w:footer="0" w:header="0"/>
        </w:sectPr>
      </w:pPr>
    </w:p>
    <w:p>
      <w:pPr>
        <w:ind w:left="140"/>
        <w:spacing w:after="0"/>
        <w:rPr>
          <w:sz w:val="20"/>
          <w:szCs w:val="20"/>
          <w:color w:val="auto"/>
        </w:rPr>
      </w:pPr>
      <w:r>
        <w:rPr>
          <w:rFonts w:ascii="Arial" w:cs="Arial" w:eastAsia="Arial" w:hAnsi="Arial"/>
          <w:sz w:val="14"/>
          <w:szCs w:val="14"/>
          <w:b w:val="1"/>
          <w:bCs w:val="1"/>
          <w:color w:val="auto"/>
        </w:rPr>
        <w:t>Ronald F. Clarke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Termination without cause</w:t>
      </w:r>
    </w:p>
    <w:p>
      <w:pPr>
        <w:spacing w:after="0" w:line="55" w:lineRule="exact"/>
        <w:rPr>
          <w:sz w:val="20"/>
          <w:szCs w:val="20"/>
          <w:color w:val="auto"/>
        </w:rPr>
      </w:pPr>
    </w:p>
    <w:p>
      <w:pPr>
        <w:ind w:left="320"/>
        <w:spacing w:after="0" w:line="281" w:lineRule="auto"/>
        <w:rPr>
          <w:sz w:val="20"/>
          <w:szCs w:val="20"/>
          <w:color w:val="auto"/>
        </w:rPr>
      </w:pPr>
      <w:r>
        <w:rPr>
          <w:rFonts w:ascii="Arial" w:cs="Arial" w:eastAsia="Arial" w:hAnsi="Arial"/>
          <w:sz w:val="14"/>
          <w:szCs w:val="14"/>
          <w:color w:val="auto"/>
        </w:rPr>
        <w:t>Termination for good reason or termination without cause following a change in control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2,100,000</w:t>
            </w:r>
          </w:p>
        </w:tc>
        <w:tc>
          <w:tcPr>
            <w:tcW w:w="1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33,741</w:t>
            </w:r>
          </w:p>
        </w:tc>
        <w:tc>
          <w:tcPr>
            <w:tcW w:w="880" w:type="dxa"/>
            <w:vAlign w:val="bottom"/>
          </w:tcPr>
          <w:p>
            <w:pPr>
              <w:jc w:val="right"/>
              <w:spacing w:after="0"/>
              <w:rPr>
                <w:sz w:val="20"/>
                <w:szCs w:val="20"/>
                <w:color w:val="auto"/>
              </w:rPr>
            </w:pPr>
            <w:r>
              <w:rPr>
                <w:rFonts w:ascii="Arial" w:cs="Arial" w:eastAsia="Arial" w:hAnsi="Arial"/>
                <w:sz w:val="14"/>
                <w:szCs w:val="14"/>
                <w:color w:val="auto"/>
              </w:rPr>
              <w:t>2,133,741</w:t>
            </w:r>
          </w:p>
        </w:tc>
      </w:tr>
      <w:tr>
        <w:trPr>
          <w:trHeight w:val="297"/>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2,100,000</w:t>
            </w:r>
          </w:p>
        </w:tc>
        <w:tc>
          <w:tcPr>
            <w:tcW w:w="1500" w:type="dxa"/>
            <w:vAlign w:val="bottom"/>
          </w:tcPr>
          <w:p>
            <w:pPr>
              <w:jc w:val="right"/>
              <w:ind w:right="308"/>
              <w:spacing w:after="0"/>
              <w:rPr>
                <w:sz w:val="20"/>
                <w:szCs w:val="20"/>
                <w:color w:val="auto"/>
              </w:rPr>
            </w:pPr>
            <w:r>
              <w:rPr>
                <w:rFonts w:ascii="Arial" w:cs="Arial" w:eastAsia="Arial" w:hAnsi="Arial"/>
                <w:sz w:val="14"/>
                <w:szCs w:val="14"/>
                <w:color w:val="auto"/>
              </w:rPr>
              <w:t>13,747,987</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33,741</w:t>
            </w:r>
          </w:p>
        </w:tc>
        <w:tc>
          <w:tcPr>
            <w:tcW w:w="880" w:type="dxa"/>
            <w:vAlign w:val="bottom"/>
          </w:tcPr>
          <w:p>
            <w:pPr>
              <w:jc w:val="right"/>
              <w:spacing w:after="0"/>
              <w:rPr>
                <w:sz w:val="20"/>
                <w:szCs w:val="20"/>
                <w:color w:val="auto"/>
              </w:rPr>
            </w:pPr>
            <w:r>
              <w:rPr>
                <w:rFonts w:ascii="Arial" w:cs="Arial" w:eastAsia="Arial" w:hAnsi="Arial"/>
                <w:sz w:val="14"/>
                <w:szCs w:val="14"/>
                <w:color w:val="auto"/>
              </w:rPr>
              <w:t>15,881,728</w:t>
            </w:r>
          </w:p>
        </w:tc>
      </w:tr>
    </w:tbl>
    <w:p>
      <w:pPr>
        <w:spacing w:after="0" w:line="106" w:lineRule="exact"/>
        <w:rPr>
          <w:sz w:val="20"/>
          <w:szCs w:val="20"/>
          <w:color w:val="auto"/>
        </w:rPr>
      </w:pPr>
    </w:p>
    <w:p>
      <w:pPr>
        <w:sectPr>
          <w:pgSz w:w="11900" w:h="16838" w:orient="portrait"/>
          <w:cols w:equalWidth="0" w:num="2">
            <w:col w:w="3940" w:space="560"/>
            <w:col w:w="4560"/>
          </w:cols>
          <w:pgMar w:left="1400" w:top="729" w:right="14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320"/>
              <w:spacing w:after="0"/>
              <w:rPr>
                <w:sz w:val="20"/>
                <w:szCs w:val="20"/>
                <w:color w:val="auto"/>
              </w:rPr>
            </w:pPr>
            <w:r>
              <w:rPr>
                <w:rFonts w:ascii="Arial" w:cs="Arial" w:eastAsia="Arial" w:hAnsi="Arial"/>
                <w:sz w:val="14"/>
                <w:szCs w:val="14"/>
                <w:color w:val="auto"/>
              </w:rPr>
              <w:t>Change in control</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3"/>
        </w:trPr>
        <w:tc>
          <w:tcPr>
            <w:tcW w:w="4040" w:type="dxa"/>
            <w:vAlign w:val="bottom"/>
          </w:tcPr>
          <w:p>
            <w:pPr>
              <w:ind w:left="320"/>
              <w:spacing w:after="0"/>
              <w:rPr>
                <w:sz w:val="20"/>
                <w:szCs w:val="20"/>
                <w:color w:val="auto"/>
              </w:rPr>
            </w:pPr>
            <w:r>
              <w:rPr>
                <w:rFonts w:ascii="Arial" w:cs="Arial" w:eastAsia="Arial" w:hAnsi="Arial"/>
                <w:sz w:val="14"/>
                <w:szCs w:val="14"/>
                <w:color w:val="auto"/>
              </w:rPr>
              <w:t>Retirement, death or disability</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2"/>
        </w:trPr>
        <w:tc>
          <w:tcPr>
            <w:tcW w:w="404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Peter Walker</w:t>
            </w:r>
          </w:p>
        </w:tc>
        <w:tc>
          <w:tcPr>
            <w:tcW w:w="1140" w:type="dxa"/>
            <w:vAlign w:val="bottom"/>
            <w:shd w:val="clear" w:color="auto" w:fill="F1F2F2"/>
          </w:tcPr>
          <w:p>
            <w:pPr>
              <w:spacing w:after="0"/>
              <w:rPr>
                <w:sz w:val="20"/>
                <w:szCs w:val="20"/>
                <w:color w:val="auto"/>
              </w:rPr>
            </w:pPr>
          </w:p>
        </w:tc>
        <w:tc>
          <w:tcPr>
            <w:tcW w:w="1520" w:type="dxa"/>
            <w:vAlign w:val="bottom"/>
            <w:shd w:val="clear" w:color="auto" w:fill="F1F2F2"/>
          </w:tcPr>
          <w:p>
            <w:pPr>
              <w:spacing w:after="0"/>
              <w:rPr>
                <w:sz w:val="20"/>
                <w:szCs w:val="20"/>
                <w:color w:val="auto"/>
              </w:rPr>
            </w:pPr>
          </w:p>
        </w:tc>
        <w:tc>
          <w:tcPr>
            <w:tcW w:w="1200" w:type="dxa"/>
            <w:vAlign w:val="bottom"/>
            <w:shd w:val="clear" w:color="auto" w:fill="F1F2F2"/>
          </w:tcPr>
          <w:p>
            <w:pPr>
              <w:spacing w:after="0"/>
              <w:rPr>
                <w:sz w:val="20"/>
                <w:szCs w:val="20"/>
                <w:color w:val="auto"/>
              </w:rPr>
            </w:pPr>
          </w:p>
        </w:tc>
        <w:tc>
          <w:tcPr>
            <w:tcW w:w="1160" w:type="dxa"/>
            <w:vAlign w:val="bottom"/>
            <w:shd w:val="clear" w:color="auto" w:fill="F1F2F2"/>
          </w:tcPr>
          <w:p>
            <w:pPr>
              <w:spacing w:after="0"/>
              <w:rPr>
                <w:sz w:val="20"/>
                <w:szCs w:val="20"/>
                <w:color w:val="auto"/>
              </w:rPr>
            </w:pPr>
          </w:p>
        </w:tc>
      </w:tr>
      <w:tr>
        <w:trPr>
          <w:trHeight w:val="223"/>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Termination without cause</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600,000</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5,623</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605,623</w:t>
            </w:r>
          </w:p>
        </w:tc>
      </w:tr>
      <w:tr>
        <w:trPr>
          <w:trHeight w:val="229"/>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Termination without cause following a change in control</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600,000</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2,268,410</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5,623</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2,874,033</w:t>
            </w:r>
          </w:p>
        </w:tc>
      </w:tr>
      <w:tr>
        <w:trPr>
          <w:trHeight w:val="230"/>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Termination for good reason following a change in control</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2,268,410</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2,268,410</w:t>
            </w:r>
          </w:p>
        </w:tc>
      </w:tr>
      <w:tr>
        <w:trPr>
          <w:trHeight w:val="229"/>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Change in control</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r>
      <w:tr>
        <w:trPr>
          <w:trHeight w:val="238"/>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Retirement, death or disability</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1,698,148</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1,698,148</w:t>
            </w:r>
          </w:p>
        </w:tc>
      </w:tr>
      <w:tr>
        <w:trPr>
          <w:trHeight w:val="228"/>
        </w:trPr>
        <w:tc>
          <w:tcPr>
            <w:tcW w:w="4040" w:type="dxa"/>
            <w:vAlign w:val="bottom"/>
          </w:tcPr>
          <w:p>
            <w:pPr>
              <w:ind w:left="140"/>
              <w:spacing w:after="0"/>
              <w:rPr>
                <w:sz w:val="20"/>
                <w:szCs w:val="20"/>
                <w:color w:val="auto"/>
              </w:rPr>
            </w:pPr>
            <w:r>
              <w:rPr>
                <w:rFonts w:ascii="Arial" w:cs="Arial" w:eastAsia="Arial" w:hAnsi="Arial"/>
                <w:sz w:val="14"/>
                <w:szCs w:val="14"/>
                <w:b w:val="1"/>
                <w:bCs w:val="1"/>
                <w:color w:val="auto"/>
              </w:rPr>
              <w:t>Alissa B. Vickery</w:t>
            </w: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4040" w:type="dxa"/>
            <w:vAlign w:val="bottom"/>
          </w:tcPr>
          <w:p>
            <w:pPr>
              <w:ind w:left="320"/>
              <w:spacing w:after="0"/>
              <w:rPr>
                <w:sz w:val="20"/>
                <w:szCs w:val="20"/>
                <w:color w:val="auto"/>
              </w:rPr>
            </w:pPr>
            <w:r>
              <w:rPr>
                <w:rFonts w:ascii="Arial" w:cs="Arial" w:eastAsia="Arial" w:hAnsi="Arial"/>
                <w:sz w:val="14"/>
                <w:szCs w:val="14"/>
                <w:color w:val="auto"/>
              </w:rPr>
              <w:t>Termination without cause</w:t>
            </w:r>
          </w:p>
        </w:tc>
        <w:tc>
          <w:tcPr>
            <w:tcW w:w="1140" w:type="dxa"/>
            <w:vAlign w:val="bottom"/>
          </w:tcPr>
          <w:p>
            <w:pPr>
              <w:jc w:val="right"/>
              <w:spacing w:after="0"/>
              <w:rPr>
                <w:sz w:val="20"/>
                <w:szCs w:val="20"/>
                <w:color w:val="auto"/>
              </w:rPr>
            </w:pPr>
            <w:r>
              <w:rPr>
                <w:rFonts w:ascii="Arial" w:cs="Arial" w:eastAsia="Arial" w:hAnsi="Arial"/>
                <w:sz w:val="14"/>
                <w:szCs w:val="14"/>
                <w:color w:val="auto"/>
              </w:rPr>
              <w:t>300,000</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300,000</w:t>
            </w:r>
          </w:p>
        </w:tc>
      </w:tr>
      <w:tr>
        <w:trPr>
          <w:trHeight w:val="229"/>
        </w:trPr>
        <w:tc>
          <w:tcPr>
            <w:tcW w:w="4040" w:type="dxa"/>
            <w:vAlign w:val="bottom"/>
          </w:tcPr>
          <w:p>
            <w:pPr>
              <w:ind w:left="320"/>
              <w:spacing w:after="0"/>
              <w:rPr>
                <w:sz w:val="20"/>
                <w:szCs w:val="20"/>
                <w:color w:val="auto"/>
              </w:rPr>
            </w:pPr>
            <w:r>
              <w:rPr>
                <w:rFonts w:ascii="Arial" w:cs="Arial" w:eastAsia="Arial" w:hAnsi="Arial"/>
                <w:sz w:val="14"/>
                <w:szCs w:val="14"/>
                <w:color w:val="auto"/>
              </w:rPr>
              <w:t>Termination without cause following a change in control</w:t>
            </w:r>
          </w:p>
        </w:tc>
        <w:tc>
          <w:tcPr>
            <w:tcW w:w="1140" w:type="dxa"/>
            <w:vAlign w:val="bottom"/>
          </w:tcPr>
          <w:p>
            <w:pPr>
              <w:jc w:val="right"/>
              <w:spacing w:after="0"/>
              <w:rPr>
                <w:sz w:val="20"/>
                <w:szCs w:val="20"/>
                <w:color w:val="auto"/>
              </w:rPr>
            </w:pPr>
            <w:r>
              <w:rPr>
                <w:rFonts w:ascii="Arial" w:cs="Arial" w:eastAsia="Arial" w:hAnsi="Arial"/>
                <w:sz w:val="14"/>
                <w:szCs w:val="14"/>
                <w:color w:val="auto"/>
              </w:rPr>
              <w:t>300,000</w:t>
            </w:r>
          </w:p>
        </w:tc>
        <w:tc>
          <w:tcPr>
            <w:tcW w:w="1520" w:type="dxa"/>
            <w:vAlign w:val="bottom"/>
          </w:tcPr>
          <w:p>
            <w:pPr>
              <w:jc w:val="right"/>
              <w:spacing w:after="0"/>
              <w:rPr>
                <w:sz w:val="20"/>
                <w:szCs w:val="20"/>
                <w:color w:val="auto"/>
              </w:rPr>
            </w:pPr>
            <w:r>
              <w:rPr>
                <w:rFonts w:ascii="Arial" w:cs="Arial" w:eastAsia="Arial" w:hAnsi="Arial"/>
                <w:sz w:val="14"/>
                <w:szCs w:val="14"/>
                <w:color w:val="auto"/>
              </w:rPr>
              <w:t>641,118</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941,118</w:t>
            </w:r>
          </w:p>
        </w:tc>
      </w:tr>
      <w:tr>
        <w:trPr>
          <w:trHeight w:val="230"/>
        </w:trPr>
        <w:tc>
          <w:tcPr>
            <w:tcW w:w="4040" w:type="dxa"/>
            <w:vAlign w:val="bottom"/>
          </w:tcPr>
          <w:p>
            <w:pPr>
              <w:ind w:left="320"/>
              <w:spacing w:after="0"/>
              <w:rPr>
                <w:sz w:val="20"/>
                <w:szCs w:val="20"/>
                <w:color w:val="auto"/>
              </w:rPr>
            </w:pPr>
            <w:r>
              <w:rPr>
                <w:rFonts w:ascii="Arial" w:cs="Arial" w:eastAsia="Arial" w:hAnsi="Arial"/>
                <w:sz w:val="14"/>
                <w:szCs w:val="14"/>
                <w:color w:val="auto"/>
              </w:rPr>
              <w:t>Termination for good reason following a change in control</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641,118</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641,118</w:t>
            </w:r>
          </w:p>
        </w:tc>
      </w:tr>
      <w:tr>
        <w:trPr>
          <w:trHeight w:val="230"/>
        </w:trPr>
        <w:tc>
          <w:tcPr>
            <w:tcW w:w="4040" w:type="dxa"/>
            <w:vAlign w:val="bottom"/>
          </w:tcPr>
          <w:p>
            <w:pPr>
              <w:ind w:left="320"/>
              <w:spacing w:after="0"/>
              <w:rPr>
                <w:sz w:val="20"/>
                <w:szCs w:val="20"/>
                <w:color w:val="auto"/>
              </w:rPr>
            </w:pPr>
            <w:r>
              <w:rPr>
                <w:rFonts w:ascii="Arial" w:cs="Arial" w:eastAsia="Arial" w:hAnsi="Arial"/>
                <w:sz w:val="14"/>
                <w:szCs w:val="14"/>
                <w:color w:val="auto"/>
              </w:rPr>
              <w:t>Change in control</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4"/>
        </w:trPr>
        <w:tc>
          <w:tcPr>
            <w:tcW w:w="4040" w:type="dxa"/>
            <w:vAlign w:val="bottom"/>
          </w:tcPr>
          <w:p>
            <w:pPr>
              <w:ind w:left="320"/>
              <w:spacing w:after="0"/>
              <w:rPr>
                <w:sz w:val="20"/>
                <w:szCs w:val="20"/>
                <w:color w:val="auto"/>
              </w:rPr>
            </w:pPr>
            <w:r>
              <w:rPr>
                <w:rFonts w:ascii="Arial" w:cs="Arial" w:eastAsia="Arial" w:hAnsi="Arial"/>
                <w:sz w:val="14"/>
                <w:szCs w:val="14"/>
                <w:color w:val="auto"/>
              </w:rPr>
              <w:t>Retirement, death or disability</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504,926</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504,926</w:t>
            </w:r>
          </w:p>
        </w:tc>
      </w:tr>
      <w:tr>
        <w:trPr>
          <w:trHeight w:val="231"/>
        </w:trPr>
        <w:tc>
          <w:tcPr>
            <w:tcW w:w="4040" w:type="dxa"/>
            <w:vAlign w:val="bottom"/>
            <w:shd w:val="clear" w:color="auto" w:fill="F1F2F2"/>
          </w:tcPr>
          <w:p>
            <w:pPr>
              <w:ind w:left="140"/>
              <w:spacing w:after="0"/>
              <w:rPr>
                <w:sz w:val="20"/>
                <w:szCs w:val="20"/>
                <w:color w:val="auto"/>
              </w:rPr>
            </w:pPr>
            <w:r>
              <w:rPr>
                <w:rFonts w:ascii="Arial" w:cs="Arial" w:eastAsia="Arial" w:hAnsi="Arial"/>
                <w:sz w:val="14"/>
                <w:szCs w:val="14"/>
                <w:b w:val="1"/>
                <w:bCs w:val="1"/>
                <w:color w:val="auto"/>
              </w:rPr>
              <w:t>Armando L. Netto</w:t>
            </w:r>
          </w:p>
        </w:tc>
        <w:tc>
          <w:tcPr>
            <w:tcW w:w="1140" w:type="dxa"/>
            <w:vAlign w:val="bottom"/>
            <w:shd w:val="clear" w:color="auto" w:fill="F1F2F2"/>
          </w:tcPr>
          <w:p>
            <w:pPr>
              <w:spacing w:after="0"/>
              <w:rPr>
                <w:sz w:val="20"/>
                <w:szCs w:val="20"/>
                <w:color w:val="auto"/>
              </w:rPr>
            </w:pPr>
          </w:p>
        </w:tc>
        <w:tc>
          <w:tcPr>
            <w:tcW w:w="1520" w:type="dxa"/>
            <w:vAlign w:val="bottom"/>
            <w:shd w:val="clear" w:color="auto" w:fill="F1F2F2"/>
          </w:tcPr>
          <w:p>
            <w:pPr>
              <w:spacing w:after="0"/>
              <w:rPr>
                <w:sz w:val="20"/>
                <w:szCs w:val="20"/>
                <w:color w:val="auto"/>
              </w:rPr>
            </w:pPr>
          </w:p>
        </w:tc>
        <w:tc>
          <w:tcPr>
            <w:tcW w:w="1200" w:type="dxa"/>
            <w:vAlign w:val="bottom"/>
            <w:shd w:val="clear" w:color="auto" w:fill="F1F2F2"/>
          </w:tcPr>
          <w:p>
            <w:pPr>
              <w:spacing w:after="0"/>
              <w:rPr>
                <w:sz w:val="20"/>
                <w:szCs w:val="20"/>
                <w:color w:val="auto"/>
              </w:rPr>
            </w:pPr>
          </w:p>
        </w:tc>
        <w:tc>
          <w:tcPr>
            <w:tcW w:w="1160" w:type="dxa"/>
            <w:vAlign w:val="bottom"/>
            <w:shd w:val="clear" w:color="auto" w:fill="F1F2F2"/>
          </w:tcPr>
          <w:p>
            <w:pPr>
              <w:spacing w:after="0"/>
              <w:rPr>
                <w:sz w:val="20"/>
                <w:szCs w:val="20"/>
                <w:color w:val="auto"/>
              </w:rPr>
            </w:pPr>
          </w:p>
        </w:tc>
      </w:tr>
      <w:tr>
        <w:trPr>
          <w:trHeight w:val="223"/>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Termination without cause</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550,000</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37,460</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587,460</w:t>
            </w:r>
          </w:p>
        </w:tc>
      </w:tr>
      <w:tr>
        <w:trPr>
          <w:trHeight w:val="230"/>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Termination without cause following a change in control</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550,000</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6,715,568</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37,460</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7,303,028</w:t>
            </w:r>
          </w:p>
        </w:tc>
      </w:tr>
      <w:tr>
        <w:trPr>
          <w:trHeight w:val="230"/>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Termination for good reason following a change in control</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6,715,568</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6,715,568</w:t>
            </w:r>
          </w:p>
        </w:tc>
      </w:tr>
      <w:tr>
        <w:trPr>
          <w:trHeight w:val="229"/>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Change in control</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r>
      <w:tr>
        <w:trPr>
          <w:trHeight w:val="238"/>
        </w:trPr>
        <w:tc>
          <w:tcPr>
            <w:tcW w:w="4040" w:type="dxa"/>
            <w:vAlign w:val="bottom"/>
            <w:shd w:val="clear" w:color="auto" w:fill="F1F2F2"/>
          </w:tcPr>
          <w:p>
            <w:pPr>
              <w:ind w:left="320"/>
              <w:spacing w:after="0"/>
              <w:rPr>
                <w:sz w:val="20"/>
                <w:szCs w:val="20"/>
                <w:color w:val="auto"/>
              </w:rPr>
            </w:pPr>
            <w:r>
              <w:rPr>
                <w:rFonts w:ascii="Arial" w:cs="Arial" w:eastAsia="Arial" w:hAnsi="Arial"/>
                <w:sz w:val="14"/>
                <w:szCs w:val="14"/>
                <w:color w:val="auto"/>
              </w:rPr>
              <w:t>Retirement, death or disability</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4,128,916</w:t>
            </w:r>
          </w:p>
        </w:tc>
        <w:tc>
          <w:tcPr>
            <w:tcW w:w="12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4,128,916</w:t>
            </w:r>
          </w:p>
        </w:tc>
      </w:tr>
      <w:tr>
        <w:trPr>
          <w:trHeight w:val="228"/>
        </w:trPr>
        <w:tc>
          <w:tcPr>
            <w:tcW w:w="4040" w:type="dxa"/>
            <w:vAlign w:val="bottom"/>
          </w:tcPr>
          <w:p>
            <w:pPr>
              <w:ind w:left="140"/>
              <w:spacing w:after="0"/>
              <w:rPr>
                <w:sz w:val="20"/>
                <w:szCs w:val="20"/>
                <w:color w:val="auto"/>
              </w:rPr>
            </w:pPr>
            <w:r>
              <w:rPr>
                <w:rFonts w:ascii="Arial" w:cs="Arial" w:eastAsia="Arial" w:hAnsi="Arial"/>
                <w:sz w:val="14"/>
                <w:szCs w:val="14"/>
                <w:b w:val="1"/>
                <w:bCs w:val="1"/>
                <w:color w:val="auto"/>
              </w:rPr>
              <w:t>Alan King</w:t>
            </w: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4040" w:type="dxa"/>
            <w:vAlign w:val="bottom"/>
          </w:tcPr>
          <w:p>
            <w:pPr>
              <w:ind w:left="320"/>
              <w:spacing w:after="0"/>
              <w:rPr>
                <w:sz w:val="20"/>
                <w:szCs w:val="20"/>
                <w:color w:val="auto"/>
              </w:rPr>
            </w:pPr>
            <w:r>
              <w:rPr>
                <w:rFonts w:ascii="Arial" w:cs="Arial" w:eastAsia="Arial" w:hAnsi="Arial"/>
                <w:sz w:val="14"/>
                <w:szCs w:val="14"/>
                <w:color w:val="auto"/>
              </w:rPr>
              <w:t>Termination without cause</w:t>
            </w:r>
          </w:p>
        </w:tc>
        <w:tc>
          <w:tcPr>
            <w:tcW w:w="1140" w:type="dxa"/>
            <w:vAlign w:val="bottom"/>
          </w:tcPr>
          <w:p>
            <w:pPr>
              <w:jc w:val="right"/>
              <w:spacing w:after="0"/>
              <w:rPr>
                <w:sz w:val="20"/>
                <w:szCs w:val="20"/>
                <w:color w:val="auto"/>
              </w:rPr>
            </w:pPr>
            <w:r>
              <w:rPr>
                <w:rFonts w:ascii="Arial" w:cs="Arial" w:eastAsia="Arial" w:hAnsi="Arial"/>
                <w:sz w:val="14"/>
                <w:szCs w:val="14"/>
                <w:color w:val="auto"/>
              </w:rPr>
              <w:t>450,000</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32,924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482,924</w:t>
            </w:r>
          </w:p>
        </w:tc>
      </w:tr>
      <w:tr>
        <w:trPr>
          <w:trHeight w:val="229"/>
        </w:trPr>
        <w:tc>
          <w:tcPr>
            <w:tcW w:w="4040" w:type="dxa"/>
            <w:vAlign w:val="bottom"/>
          </w:tcPr>
          <w:p>
            <w:pPr>
              <w:ind w:left="320"/>
              <w:spacing w:after="0"/>
              <w:rPr>
                <w:sz w:val="20"/>
                <w:szCs w:val="20"/>
                <w:color w:val="auto"/>
              </w:rPr>
            </w:pPr>
            <w:r>
              <w:rPr>
                <w:rFonts w:ascii="Arial" w:cs="Arial" w:eastAsia="Arial" w:hAnsi="Arial"/>
                <w:sz w:val="14"/>
                <w:szCs w:val="14"/>
                <w:color w:val="auto"/>
              </w:rPr>
              <w:t>Termination without cause following a change in control</w:t>
            </w:r>
          </w:p>
        </w:tc>
        <w:tc>
          <w:tcPr>
            <w:tcW w:w="1140" w:type="dxa"/>
            <w:vAlign w:val="bottom"/>
          </w:tcPr>
          <w:p>
            <w:pPr>
              <w:jc w:val="right"/>
              <w:spacing w:after="0"/>
              <w:rPr>
                <w:sz w:val="20"/>
                <w:szCs w:val="20"/>
                <w:color w:val="auto"/>
              </w:rPr>
            </w:pPr>
            <w:r>
              <w:rPr>
                <w:rFonts w:ascii="Arial" w:cs="Arial" w:eastAsia="Arial" w:hAnsi="Arial"/>
                <w:sz w:val="14"/>
                <w:szCs w:val="14"/>
                <w:color w:val="auto"/>
              </w:rPr>
              <w:t>450,000</w:t>
            </w:r>
          </w:p>
        </w:tc>
        <w:tc>
          <w:tcPr>
            <w:tcW w:w="1520" w:type="dxa"/>
            <w:vAlign w:val="bottom"/>
          </w:tcPr>
          <w:p>
            <w:pPr>
              <w:jc w:val="right"/>
              <w:spacing w:after="0"/>
              <w:rPr>
                <w:sz w:val="20"/>
                <w:szCs w:val="20"/>
                <w:color w:val="auto"/>
              </w:rPr>
            </w:pPr>
            <w:r>
              <w:rPr>
                <w:rFonts w:ascii="Arial" w:cs="Arial" w:eastAsia="Arial" w:hAnsi="Arial"/>
                <w:sz w:val="14"/>
                <w:szCs w:val="14"/>
                <w:color w:val="auto"/>
              </w:rPr>
              <w:t>5,113,302</w:t>
            </w:r>
          </w:p>
        </w:tc>
        <w:tc>
          <w:tcPr>
            <w:tcW w:w="1200" w:type="dxa"/>
            <w:vAlign w:val="bottom"/>
          </w:tcPr>
          <w:p>
            <w:pPr>
              <w:jc w:val="right"/>
              <w:spacing w:after="0"/>
              <w:rPr>
                <w:sz w:val="20"/>
                <w:szCs w:val="20"/>
                <w:color w:val="auto"/>
              </w:rPr>
            </w:pPr>
            <w:r>
              <w:rPr>
                <w:rFonts w:ascii="Arial" w:cs="Arial" w:eastAsia="Arial" w:hAnsi="Arial"/>
                <w:sz w:val="14"/>
                <w:szCs w:val="14"/>
                <w:color w:val="auto"/>
              </w:rPr>
              <w:t>32,924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5,596,226</w:t>
            </w:r>
          </w:p>
        </w:tc>
      </w:tr>
      <w:tr>
        <w:trPr>
          <w:trHeight w:val="230"/>
        </w:trPr>
        <w:tc>
          <w:tcPr>
            <w:tcW w:w="4040" w:type="dxa"/>
            <w:vAlign w:val="bottom"/>
          </w:tcPr>
          <w:p>
            <w:pPr>
              <w:ind w:left="320"/>
              <w:spacing w:after="0"/>
              <w:rPr>
                <w:sz w:val="20"/>
                <w:szCs w:val="20"/>
                <w:color w:val="auto"/>
              </w:rPr>
            </w:pPr>
            <w:r>
              <w:rPr>
                <w:rFonts w:ascii="Arial" w:cs="Arial" w:eastAsia="Arial" w:hAnsi="Arial"/>
                <w:sz w:val="14"/>
                <w:szCs w:val="14"/>
                <w:color w:val="auto"/>
              </w:rPr>
              <w:t>Termination for good reason following a change in control</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5,113,302</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5,113,302</w:t>
            </w:r>
          </w:p>
        </w:tc>
      </w:tr>
      <w:tr>
        <w:trPr>
          <w:trHeight w:val="230"/>
        </w:trPr>
        <w:tc>
          <w:tcPr>
            <w:tcW w:w="4040" w:type="dxa"/>
            <w:vAlign w:val="bottom"/>
          </w:tcPr>
          <w:p>
            <w:pPr>
              <w:ind w:left="320"/>
              <w:spacing w:after="0"/>
              <w:rPr>
                <w:sz w:val="20"/>
                <w:szCs w:val="20"/>
                <w:color w:val="auto"/>
              </w:rPr>
            </w:pPr>
            <w:r>
              <w:rPr>
                <w:rFonts w:ascii="Arial" w:cs="Arial" w:eastAsia="Arial" w:hAnsi="Arial"/>
                <w:sz w:val="14"/>
                <w:szCs w:val="14"/>
                <w:color w:val="auto"/>
              </w:rPr>
              <w:t>Change in control</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3"/>
        </w:trPr>
        <w:tc>
          <w:tcPr>
            <w:tcW w:w="4040" w:type="dxa"/>
            <w:vAlign w:val="bottom"/>
            <w:tcBorders>
              <w:bottom w:val="single" w:sz="8" w:color="C43776"/>
            </w:tcBorders>
          </w:tcPr>
          <w:p>
            <w:pPr>
              <w:ind w:left="320"/>
              <w:spacing w:after="0"/>
              <w:rPr>
                <w:sz w:val="20"/>
                <w:szCs w:val="20"/>
                <w:color w:val="auto"/>
              </w:rPr>
            </w:pPr>
            <w:r>
              <w:rPr>
                <w:rFonts w:ascii="Arial" w:cs="Arial" w:eastAsia="Arial" w:hAnsi="Arial"/>
                <w:sz w:val="14"/>
                <w:szCs w:val="14"/>
                <w:color w:val="auto"/>
              </w:rPr>
              <w:t>Retirement, death or disability</w:t>
            </w:r>
          </w:p>
        </w:tc>
        <w:tc>
          <w:tcPr>
            <w:tcW w:w="1140" w:type="dxa"/>
            <w:vAlign w:val="bottom"/>
            <w:tcBorders>
              <w:bottom w:val="single" w:sz="8" w:color="C43776"/>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43776"/>
            </w:tcBorders>
          </w:tcPr>
          <w:p>
            <w:pPr>
              <w:jc w:val="right"/>
              <w:spacing w:after="0"/>
              <w:rPr>
                <w:sz w:val="20"/>
                <w:szCs w:val="20"/>
                <w:color w:val="auto"/>
              </w:rPr>
            </w:pPr>
            <w:r>
              <w:rPr>
                <w:rFonts w:ascii="Arial" w:cs="Arial" w:eastAsia="Arial" w:hAnsi="Arial"/>
                <w:sz w:val="14"/>
                <w:szCs w:val="14"/>
                <w:color w:val="auto"/>
              </w:rPr>
              <w:t>3,004,302</w:t>
            </w:r>
          </w:p>
        </w:tc>
        <w:tc>
          <w:tcPr>
            <w:tcW w:w="1200" w:type="dxa"/>
            <w:vAlign w:val="bottom"/>
            <w:tcBorders>
              <w:bottom w:val="single" w:sz="8" w:color="C43776"/>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43776"/>
            </w:tcBorders>
          </w:tcPr>
          <w:p>
            <w:pPr>
              <w:jc w:val="right"/>
              <w:ind w:right="68"/>
              <w:spacing w:after="0"/>
              <w:rPr>
                <w:sz w:val="20"/>
                <w:szCs w:val="20"/>
                <w:color w:val="auto"/>
              </w:rPr>
            </w:pPr>
            <w:r>
              <w:rPr>
                <w:rFonts w:ascii="Arial" w:cs="Arial" w:eastAsia="Arial" w:hAnsi="Arial"/>
                <w:sz w:val="14"/>
                <w:szCs w:val="14"/>
                <w:color w:val="auto"/>
              </w:rPr>
              <w:t>3,004,302</w:t>
            </w:r>
          </w:p>
        </w:tc>
      </w:tr>
    </w:tbl>
    <w:p>
      <w:pPr>
        <w:spacing w:after="0" w:line="106" w:lineRule="exact"/>
        <w:rPr>
          <w:sz w:val="20"/>
          <w:szCs w:val="20"/>
          <w:color w:val="auto"/>
        </w:rPr>
      </w:pPr>
    </w:p>
    <w:p>
      <w:pPr>
        <w:ind w:left="340" w:right="100" w:hanging="332"/>
        <w:spacing w:after="0" w:line="257" w:lineRule="auto"/>
        <w:tabs>
          <w:tab w:leader="none" w:pos="340" w:val="left"/>
        </w:tabs>
        <w:numPr>
          <w:ilvl w:val="0"/>
          <w:numId w:val="59"/>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For Mr. Clarke, represents 150% of his then-current annual base salary and any accrued vacation. For Mr. Walker, Ms. Vickery, Mr. Netto and Mr. King, </w:t>
      </w:r>
      <w:r>
        <w:rPr>
          <w:rFonts w:ascii="Arial" w:cs="Arial" w:eastAsia="Arial" w:hAnsi="Arial"/>
          <w:sz w:val="12"/>
          <w:szCs w:val="12"/>
          <w:i w:val="1"/>
          <w:iCs w:val="1"/>
          <w:color w:val="auto"/>
          <w:highlight w:val="white"/>
        </w:rPr>
        <w:t xml:space="preserve">represents one year of their then-current annual base salary. The Company does not hold </w:t>
      </w:r>
      <w:r>
        <w:rPr>
          <w:rFonts w:ascii="Arial" w:cs="Arial" w:eastAsia="Arial" w:hAnsi="Arial"/>
          <w:sz w:val="12"/>
          <w:szCs w:val="12"/>
          <w:i w:val="1"/>
          <w:iCs w:val="1"/>
          <w:color w:val="auto"/>
        </w:rPr>
        <w:t>an offer letter or other individual agreement with Ms. Vickery. For</w:t>
      </w:r>
      <w:r>
        <w:rPr>
          <w:rFonts w:ascii="Arial" w:cs="Arial" w:eastAsia="Arial" w:hAnsi="Arial"/>
          <w:sz w:val="12"/>
          <w:szCs w:val="12"/>
          <w:i w:val="1"/>
          <w:iCs w:val="1"/>
          <w:color w:val="auto"/>
          <w:highlight w:val="white"/>
        </w:rPr>
        <w:t xml:space="preserve"> </w:t>
      </w:r>
      <w:r>
        <w:rPr>
          <w:rFonts w:ascii="Arial" w:cs="Arial" w:eastAsia="Arial" w:hAnsi="Arial"/>
          <w:sz w:val="12"/>
          <w:szCs w:val="12"/>
          <w:i w:val="1"/>
          <w:iCs w:val="1"/>
          <w:color w:val="auto"/>
        </w:rPr>
        <w:t xml:space="preserve">purposes of this disclosure, we have assumed that Ms. Vickery </w:t>
      </w:r>
      <w:r>
        <w:rPr>
          <w:rFonts w:ascii="Arial" w:cs="Arial" w:eastAsia="Arial" w:hAnsi="Arial"/>
          <w:sz w:val="12"/>
          <w:szCs w:val="12"/>
          <w:i w:val="1"/>
          <w:iCs w:val="1"/>
          <w:color w:val="auto"/>
          <w:highlight w:val="white"/>
        </w:rPr>
        <w:t>would receive cash severance compensation similar to other non-CEO NEOs.</w:t>
      </w:r>
    </w:p>
    <w:p>
      <w:pPr>
        <w:spacing w:after="0" w:line="15" w:lineRule="exact"/>
        <w:rPr>
          <w:rFonts w:ascii="Arial" w:cs="Arial" w:eastAsia="Arial" w:hAnsi="Arial"/>
          <w:sz w:val="12"/>
          <w:szCs w:val="12"/>
          <w:i w:val="1"/>
          <w:iCs w:val="1"/>
          <w:color w:val="auto"/>
        </w:rPr>
      </w:pPr>
    </w:p>
    <w:p>
      <w:pPr>
        <w:ind w:left="340" w:right="20" w:hanging="332"/>
        <w:spacing w:after="0" w:line="227" w:lineRule="auto"/>
        <w:tabs>
          <w:tab w:leader="none" w:pos="340" w:val="left"/>
        </w:tabs>
        <w:numPr>
          <w:ilvl w:val="0"/>
          <w:numId w:val="59"/>
        </w:numPr>
        <w:rPr>
          <w:rFonts w:ascii="Arial" w:cs="Arial" w:eastAsia="Arial" w:hAnsi="Arial"/>
          <w:sz w:val="13"/>
          <w:szCs w:val="13"/>
          <w:i w:val="1"/>
          <w:iCs w:val="1"/>
          <w:color w:val="auto"/>
          <w:highlight w:val="white"/>
        </w:rPr>
      </w:pPr>
      <w:r>
        <w:rPr>
          <w:rFonts w:ascii="Arial" w:cs="Arial" w:eastAsia="Arial" w:hAnsi="Arial"/>
          <w:sz w:val="13"/>
          <w:szCs w:val="13"/>
          <w:i w:val="1"/>
          <w:iCs w:val="1"/>
          <w:color w:val="auto"/>
          <w:highlight w:val="white"/>
        </w:rPr>
        <w:t>Under our 2010 Plan and the stock option, restricted share and restricted stock unit agreements with each named executive officer, all awards are subject to double trigger vesting in the event of a change in control. The treatment of such awards in the event of certain other terminations of employment is described above under the heading “Equity Awards.” The value shown above with respect to a change in control represents the value of the unvested options, restricted shares and restricted stock units held by the NEOs at December 31, 2025, assuming a value of $300.93 per share, the closing price of our common shares on the New York Stock Exchange on December 31, 2025, for which vesting would be accelerated. The value shown above with respect to retirement, death or disability represents the value of the portion of the awards that are scheduled to vest in the year in which the retirement, death or disability occurs, which portion would vest upon such events. For options with an exercise price above the closing price of our common shares on December 31, 2025, accelerated vesting value was assumed as zero.</w:t>
      </w:r>
    </w:p>
    <w:p>
      <w:pPr>
        <w:spacing w:after="0" w:line="43" w:lineRule="exact"/>
        <w:rPr>
          <w:rFonts w:ascii="Arial" w:cs="Arial" w:eastAsia="Arial" w:hAnsi="Arial"/>
          <w:sz w:val="13"/>
          <w:szCs w:val="13"/>
          <w:i w:val="1"/>
          <w:iCs w:val="1"/>
          <w:color w:val="auto"/>
          <w:highlight w:val="white"/>
        </w:rPr>
      </w:pPr>
    </w:p>
    <w:p>
      <w:pPr>
        <w:ind w:left="340" w:hanging="332"/>
        <w:spacing w:after="0"/>
        <w:tabs>
          <w:tab w:leader="none" w:pos="340" w:val="left"/>
        </w:tabs>
        <w:numPr>
          <w:ilvl w:val="0"/>
          <w:numId w:val="59"/>
        </w:numPr>
        <w:rPr>
          <w:rFonts w:ascii="Arial" w:cs="Arial" w:eastAsia="Arial" w:hAnsi="Arial"/>
          <w:sz w:val="13"/>
          <w:szCs w:val="13"/>
          <w:i w:val="1"/>
          <w:iCs w:val="1"/>
          <w:color w:val="auto"/>
          <w:highlight w:val="white"/>
        </w:rPr>
      </w:pPr>
      <w:r>
        <w:rPr>
          <w:rFonts w:ascii="Arial" w:cs="Arial" w:eastAsia="Arial" w:hAnsi="Arial"/>
          <w:sz w:val="13"/>
          <w:szCs w:val="13"/>
          <w:i w:val="1"/>
          <w:iCs w:val="1"/>
          <w:color w:val="auto"/>
          <w:highlight w:val="white"/>
        </w:rPr>
        <w:t>Represents payment of medical, dental and vision benefits for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53</w:t>
      </w:r>
    </w:p>
    <w:p>
      <w:pPr>
        <w:sectPr>
          <w:pgSz w:w="11900" w:h="16838" w:orient="portrait"/>
          <w:cols w:equalWidth="0" w:num="1">
            <w:col w:w="9060"/>
          </w:cols>
          <w:pgMar w:left="1400" w:top="729" w:right="1439" w:bottom="1440" w:gutter="0" w:footer="0" w:header="0"/>
          <w:type w:val="continuous"/>
        </w:sectPr>
      </w:pPr>
    </w:p>
    <w:bookmarkStart w:id="59" w:name="page60"/>
    <w:bookmarkEnd w:id="5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07. Equity Compensation Plan Information</w:t>
      </w:r>
    </w:p>
    <w:p>
      <w:pPr>
        <w:spacing w:after="0" w:line="200" w:lineRule="exact"/>
        <w:rPr>
          <w:sz w:val="20"/>
          <w:szCs w:val="20"/>
          <w:color w:val="auto"/>
        </w:rPr>
      </w:pPr>
    </w:p>
    <w:p>
      <w:pPr>
        <w:spacing w:after="0" w:line="222"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table below sets forth information, as of December 31, 2025, with respect to the 2010 Plan, which is our only equity compensation plan under which common shares are authorized for issuance: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00" w:type="dxa"/>
            <w:vAlign w:val="bottom"/>
            <w:shd w:val="clear" w:color="auto" w:fill="C43776"/>
          </w:tcPr>
          <w:p>
            <w:pPr>
              <w:spacing w:after="0"/>
              <w:rPr>
                <w:sz w:val="24"/>
                <w:szCs w:val="24"/>
                <w:color w:val="auto"/>
              </w:rPr>
            </w:pPr>
          </w:p>
        </w:tc>
        <w:tc>
          <w:tcPr>
            <w:tcW w:w="2220" w:type="dxa"/>
            <w:vAlign w:val="bottom"/>
            <w:shd w:val="clear" w:color="auto" w:fill="C43776"/>
          </w:tcPr>
          <w:p>
            <w:pPr>
              <w:spacing w:after="0"/>
              <w:rPr>
                <w:sz w:val="24"/>
                <w:szCs w:val="24"/>
                <w:color w:val="auto"/>
              </w:rPr>
            </w:pPr>
          </w:p>
        </w:tc>
        <w:tc>
          <w:tcPr>
            <w:tcW w:w="1980" w:type="dxa"/>
            <w:vAlign w:val="bottom"/>
            <w:shd w:val="clear" w:color="auto" w:fill="C43776"/>
          </w:tcPr>
          <w:p>
            <w:pPr>
              <w:spacing w:after="0"/>
              <w:rPr>
                <w:sz w:val="24"/>
                <w:szCs w:val="24"/>
                <w:color w:val="auto"/>
              </w:rPr>
            </w:pPr>
          </w:p>
        </w:tc>
        <w:tc>
          <w:tcPr>
            <w:tcW w:w="2300" w:type="dxa"/>
            <w:vAlign w:val="bottom"/>
            <w:shd w:val="clear" w:color="auto" w:fill="C43776"/>
          </w:tcPr>
          <w:p>
            <w:pPr>
              <w:spacing w:after="0"/>
              <w:rPr>
                <w:sz w:val="24"/>
                <w:szCs w:val="24"/>
                <w:color w:val="auto"/>
              </w:rPr>
            </w:pPr>
          </w:p>
        </w:tc>
        <w:tc>
          <w:tcPr>
            <w:tcW w:w="2480" w:type="dxa"/>
            <w:vAlign w:val="bottom"/>
            <w:shd w:val="clear" w:color="auto" w:fill="C43776"/>
          </w:tcPr>
          <w:p>
            <w:pPr>
              <w:jc w:val="right"/>
              <w:ind w:right="69"/>
              <w:spacing w:after="0"/>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62"/>
        </w:trPr>
        <w:tc>
          <w:tcPr>
            <w:tcW w:w="100" w:type="dxa"/>
            <w:vAlign w:val="bottom"/>
            <w:shd w:val="clear" w:color="auto" w:fill="C43776"/>
          </w:tcPr>
          <w:p>
            <w:pPr>
              <w:spacing w:after="0"/>
              <w:rPr>
                <w:sz w:val="14"/>
                <w:szCs w:val="14"/>
                <w:color w:val="auto"/>
              </w:rPr>
            </w:pPr>
          </w:p>
        </w:tc>
        <w:tc>
          <w:tcPr>
            <w:tcW w:w="2220" w:type="dxa"/>
            <w:vAlign w:val="bottom"/>
            <w:shd w:val="clear" w:color="auto" w:fill="C43776"/>
          </w:tcPr>
          <w:p>
            <w:pPr>
              <w:spacing w:after="0"/>
              <w:rPr>
                <w:sz w:val="14"/>
                <w:szCs w:val="14"/>
                <w:color w:val="auto"/>
              </w:rPr>
            </w:pPr>
          </w:p>
        </w:tc>
        <w:tc>
          <w:tcPr>
            <w:tcW w:w="198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Number of Securities to be</w:t>
            </w:r>
          </w:p>
        </w:tc>
        <w:tc>
          <w:tcPr>
            <w:tcW w:w="2300" w:type="dxa"/>
            <w:vAlign w:val="bottom"/>
            <w:shd w:val="clear" w:color="auto" w:fill="C43776"/>
          </w:tcPr>
          <w:p>
            <w:pPr>
              <w:spacing w:after="0"/>
              <w:rPr>
                <w:sz w:val="14"/>
                <w:szCs w:val="14"/>
                <w:color w:val="auto"/>
              </w:rPr>
            </w:pPr>
          </w:p>
        </w:tc>
        <w:tc>
          <w:tcPr>
            <w:tcW w:w="2480" w:type="dxa"/>
            <w:vAlign w:val="bottom"/>
            <w:shd w:val="clear" w:color="auto" w:fill="C43776"/>
          </w:tcPr>
          <w:p>
            <w:pPr>
              <w:jc w:val="right"/>
              <w:ind w:right="69"/>
              <w:spacing w:after="0"/>
              <w:rPr>
                <w:sz w:val="20"/>
                <w:szCs w:val="20"/>
                <w:color w:val="auto"/>
              </w:rPr>
            </w:pPr>
            <w:r>
              <w:rPr>
                <w:rFonts w:ascii="Arial" w:cs="Arial" w:eastAsia="Arial" w:hAnsi="Arial"/>
                <w:sz w:val="14"/>
                <w:szCs w:val="14"/>
                <w:b w:val="1"/>
                <w:bCs w:val="1"/>
                <w:color w:val="FFFFFF"/>
              </w:rPr>
              <w:t>Available for Future Issuance</w:t>
            </w:r>
          </w:p>
        </w:tc>
        <w:tc>
          <w:tcPr>
            <w:tcW w:w="0" w:type="dxa"/>
            <w:vAlign w:val="bottom"/>
          </w:tcPr>
          <w:p>
            <w:pPr>
              <w:spacing w:after="0"/>
              <w:rPr>
                <w:sz w:val="1"/>
                <w:szCs w:val="1"/>
                <w:color w:val="auto"/>
              </w:rPr>
            </w:pPr>
          </w:p>
        </w:tc>
      </w:tr>
      <w:tr>
        <w:trPr>
          <w:trHeight w:val="176"/>
        </w:trPr>
        <w:tc>
          <w:tcPr>
            <w:tcW w:w="100" w:type="dxa"/>
            <w:vAlign w:val="bottom"/>
            <w:shd w:val="clear" w:color="auto" w:fill="C43776"/>
          </w:tcPr>
          <w:p>
            <w:pPr>
              <w:spacing w:after="0"/>
              <w:rPr>
                <w:sz w:val="15"/>
                <w:szCs w:val="15"/>
                <w:color w:val="auto"/>
              </w:rPr>
            </w:pPr>
          </w:p>
        </w:tc>
        <w:tc>
          <w:tcPr>
            <w:tcW w:w="2220" w:type="dxa"/>
            <w:vAlign w:val="bottom"/>
            <w:shd w:val="clear" w:color="auto" w:fill="C43776"/>
          </w:tcPr>
          <w:p>
            <w:pPr>
              <w:spacing w:after="0"/>
              <w:rPr>
                <w:sz w:val="15"/>
                <w:szCs w:val="15"/>
                <w:color w:val="auto"/>
              </w:rPr>
            </w:pPr>
          </w:p>
        </w:tc>
        <w:tc>
          <w:tcPr>
            <w:tcW w:w="198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Issued Upon Exercise of</w:t>
            </w:r>
          </w:p>
        </w:tc>
        <w:tc>
          <w:tcPr>
            <w:tcW w:w="2300" w:type="dxa"/>
            <w:vAlign w:val="bottom"/>
            <w:shd w:val="clear" w:color="auto" w:fill="C43776"/>
          </w:tcPr>
          <w:p>
            <w:pPr>
              <w:jc w:val="right"/>
              <w:ind w:right="69"/>
              <w:spacing w:after="0"/>
              <w:rPr>
                <w:sz w:val="20"/>
                <w:szCs w:val="20"/>
                <w:color w:val="auto"/>
              </w:rPr>
            </w:pPr>
            <w:r>
              <w:rPr>
                <w:rFonts w:ascii="Arial" w:cs="Arial" w:eastAsia="Arial" w:hAnsi="Arial"/>
                <w:sz w:val="14"/>
                <w:szCs w:val="14"/>
                <w:b w:val="1"/>
                <w:bCs w:val="1"/>
                <w:color w:val="FFFFFF"/>
              </w:rPr>
              <w:t>Weighted Average Exercise</w:t>
            </w:r>
          </w:p>
        </w:tc>
        <w:tc>
          <w:tcPr>
            <w:tcW w:w="2480" w:type="dxa"/>
            <w:vAlign w:val="bottom"/>
            <w:shd w:val="clear" w:color="auto" w:fill="C43776"/>
          </w:tcPr>
          <w:p>
            <w:pPr>
              <w:jc w:val="right"/>
              <w:ind w:right="69"/>
              <w:spacing w:after="0"/>
              <w:rPr>
                <w:sz w:val="20"/>
                <w:szCs w:val="20"/>
                <w:color w:val="auto"/>
              </w:rPr>
            </w:pPr>
            <w:r>
              <w:rPr>
                <w:rFonts w:ascii="Arial" w:cs="Arial" w:eastAsia="Arial" w:hAnsi="Arial"/>
                <w:sz w:val="14"/>
                <w:szCs w:val="14"/>
                <w:b w:val="1"/>
                <w:bCs w:val="1"/>
                <w:color w:val="FFFFFF"/>
              </w:rPr>
              <w:t>Under Equity Compensation</w:t>
            </w:r>
          </w:p>
        </w:tc>
        <w:tc>
          <w:tcPr>
            <w:tcW w:w="0" w:type="dxa"/>
            <w:vAlign w:val="bottom"/>
          </w:tcPr>
          <w:p>
            <w:pPr>
              <w:spacing w:after="0"/>
              <w:rPr>
                <w:sz w:val="1"/>
                <w:szCs w:val="1"/>
                <w:color w:val="auto"/>
              </w:rPr>
            </w:pPr>
          </w:p>
        </w:tc>
      </w:tr>
      <w:tr>
        <w:trPr>
          <w:trHeight w:val="160"/>
        </w:trPr>
        <w:tc>
          <w:tcPr>
            <w:tcW w:w="100" w:type="dxa"/>
            <w:vAlign w:val="bottom"/>
            <w:shd w:val="clear" w:color="auto" w:fill="C43776"/>
          </w:tcPr>
          <w:p>
            <w:pPr>
              <w:spacing w:after="0"/>
              <w:rPr>
                <w:sz w:val="13"/>
                <w:szCs w:val="13"/>
                <w:color w:val="auto"/>
              </w:rPr>
            </w:pPr>
          </w:p>
        </w:tc>
        <w:tc>
          <w:tcPr>
            <w:tcW w:w="2220" w:type="dxa"/>
            <w:vAlign w:val="bottom"/>
            <w:shd w:val="clear" w:color="auto" w:fill="C43776"/>
          </w:tcPr>
          <w:p>
            <w:pPr>
              <w:spacing w:after="0"/>
              <w:rPr>
                <w:sz w:val="13"/>
                <w:szCs w:val="13"/>
                <w:color w:val="auto"/>
              </w:rPr>
            </w:pPr>
          </w:p>
        </w:tc>
        <w:tc>
          <w:tcPr>
            <w:tcW w:w="1980" w:type="dxa"/>
            <w:vAlign w:val="bottom"/>
            <w:shd w:val="clear" w:color="auto" w:fill="C43776"/>
          </w:tcPr>
          <w:p>
            <w:pPr>
              <w:jc w:val="right"/>
              <w:spacing w:after="0" w:line="159" w:lineRule="exact"/>
              <w:rPr>
                <w:sz w:val="20"/>
                <w:szCs w:val="20"/>
                <w:color w:val="auto"/>
              </w:rPr>
            </w:pPr>
            <w:r>
              <w:rPr>
                <w:rFonts w:ascii="Arial" w:cs="Arial" w:eastAsia="Arial" w:hAnsi="Arial"/>
                <w:sz w:val="14"/>
                <w:szCs w:val="14"/>
                <w:b w:val="1"/>
                <w:bCs w:val="1"/>
                <w:color w:val="FFFFFF"/>
              </w:rPr>
              <w:t>Outstanding Options,</w:t>
            </w:r>
          </w:p>
        </w:tc>
        <w:tc>
          <w:tcPr>
            <w:tcW w:w="2300" w:type="dxa"/>
            <w:vAlign w:val="bottom"/>
            <w:shd w:val="clear" w:color="auto" w:fill="C43776"/>
          </w:tcPr>
          <w:p>
            <w:pPr>
              <w:jc w:val="right"/>
              <w:ind w:right="69"/>
              <w:spacing w:after="0" w:line="159" w:lineRule="exact"/>
              <w:rPr>
                <w:sz w:val="20"/>
                <w:szCs w:val="20"/>
                <w:color w:val="auto"/>
              </w:rPr>
            </w:pPr>
            <w:r>
              <w:rPr>
                <w:rFonts w:ascii="Arial" w:cs="Arial" w:eastAsia="Arial" w:hAnsi="Arial"/>
                <w:sz w:val="14"/>
                <w:szCs w:val="14"/>
                <w:b w:val="1"/>
                <w:bCs w:val="1"/>
                <w:color w:val="FFFFFF"/>
              </w:rPr>
              <w:t>Price of Outstanding Options,</w:t>
            </w:r>
          </w:p>
        </w:tc>
        <w:tc>
          <w:tcPr>
            <w:tcW w:w="2480" w:type="dxa"/>
            <w:vAlign w:val="bottom"/>
            <w:shd w:val="clear" w:color="auto" w:fill="C43776"/>
          </w:tcPr>
          <w:p>
            <w:pPr>
              <w:jc w:val="right"/>
              <w:ind w:right="69"/>
              <w:spacing w:after="0" w:line="159" w:lineRule="exact"/>
              <w:rPr>
                <w:sz w:val="20"/>
                <w:szCs w:val="20"/>
                <w:color w:val="auto"/>
              </w:rPr>
            </w:pPr>
            <w:r>
              <w:rPr>
                <w:rFonts w:ascii="Arial" w:cs="Arial" w:eastAsia="Arial" w:hAnsi="Arial"/>
                <w:sz w:val="14"/>
                <w:szCs w:val="14"/>
                <w:b w:val="1"/>
                <w:bCs w:val="1"/>
                <w:color w:val="FFFFFF"/>
              </w:rPr>
              <w:t>Plans (Excluding Securities</w:t>
            </w:r>
          </w:p>
        </w:tc>
        <w:tc>
          <w:tcPr>
            <w:tcW w:w="0" w:type="dxa"/>
            <w:vAlign w:val="bottom"/>
          </w:tcPr>
          <w:p>
            <w:pPr>
              <w:spacing w:after="0"/>
              <w:rPr>
                <w:sz w:val="1"/>
                <w:szCs w:val="1"/>
                <w:color w:val="auto"/>
              </w:rPr>
            </w:pPr>
          </w:p>
        </w:tc>
      </w:tr>
      <w:tr>
        <w:trPr>
          <w:trHeight w:val="201"/>
        </w:trPr>
        <w:tc>
          <w:tcPr>
            <w:tcW w:w="100" w:type="dxa"/>
            <w:vAlign w:val="bottom"/>
            <w:shd w:val="clear" w:color="auto" w:fill="C43776"/>
          </w:tcPr>
          <w:p>
            <w:pPr>
              <w:spacing w:after="0"/>
              <w:rPr>
                <w:sz w:val="17"/>
                <w:szCs w:val="17"/>
                <w:color w:val="auto"/>
              </w:rPr>
            </w:pPr>
          </w:p>
        </w:tc>
        <w:tc>
          <w:tcPr>
            <w:tcW w:w="2220" w:type="dxa"/>
            <w:vAlign w:val="bottom"/>
            <w:shd w:val="clear" w:color="auto" w:fill="C43776"/>
          </w:tcPr>
          <w:p>
            <w:pPr>
              <w:spacing w:after="0"/>
              <w:rPr>
                <w:sz w:val="17"/>
                <w:szCs w:val="17"/>
                <w:color w:val="auto"/>
              </w:rPr>
            </w:pPr>
          </w:p>
        </w:tc>
        <w:tc>
          <w:tcPr>
            <w:tcW w:w="1980" w:type="dxa"/>
            <w:vAlign w:val="bottom"/>
            <w:shd w:val="clear" w:color="auto" w:fill="C43776"/>
          </w:tcPr>
          <w:p>
            <w:pPr>
              <w:jc w:val="right"/>
              <w:spacing w:after="0" w:line="201" w:lineRule="exact"/>
              <w:rPr>
                <w:sz w:val="20"/>
                <w:szCs w:val="20"/>
                <w:color w:val="auto"/>
              </w:rPr>
            </w:pPr>
            <w:r>
              <w:rPr>
                <w:rFonts w:ascii="Arial" w:cs="Arial" w:eastAsia="Arial" w:hAnsi="Arial"/>
                <w:sz w:val="14"/>
                <w:szCs w:val="14"/>
                <w:b w:val="1"/>
                <w:bCs w:val="1"/>
                <w:color w:val="FFFFFF"/>
              </w:rPr>
              <w:t>Warrants and Rights</w:t>
            </w:r>
            <w:r>
              <w:rPr>
                <w:rFonts w:ascii="Arial" w:cs="Arial" w:eastAsia="Arial" w:hAnsi="Arial"/>
                <w:sz w:val="18"/>
                <w:szCs w:val="18"/>
                <w:b w:val="1"/>
                <w:bCs w:val="1"/>
                <w:color w:val="FFFFFF"/>
                <w:vertAlign w:val="superscript"/>
              </w:rPr>
              <w:t>(1)</w:t>
            </w:r>
          </w:p>
        </w:tc>
        <w:tc>
          <w:tcPr>
            <w:tcW w:w="2300" w:type="dxa"/>
            <w:vAlign w:val="bottom"/>
            <w:shd w:val="clear" w:color="auto" w:fill="C43776"/>
          </w:tcPr>
          <w:p>
            <w:pPr>
              <w:jc w:val="right"/>
              <w:ind w:right="69"/>
              <w:spacing w:after="0" w:line="201" w:lineRule="exact"/>
              <w:rPr>
                <w:sz w:val="20"/>
                <w:szCs w:val="20"/>
                <w:color w:val="auto"/>
              </w:rPr>
            </w:pPr>
            <w:r>
              <w:rPr>
                <w:rFonts w:ascii="Arial" w:cs="Arial" w:eastAsia="Arial" w:hAnsi="Arial"/>
                <w:sz w:val="14"/>
                <w:szCs w:val="14"/>
                <w:b w:val="1"/>
                <w:bCs w:val="1"/>
                <w:color w:val="FFFFFF"/>
              </w:rPr>
              <w:t>Warrants and Rights</w:t>
            </w:r>
            <w:r>
              <w:rPr>
                <w:rFonts w:ascii="Arial" w:cs="Arial" w:eastAsia="Arial" w:hAnsi="Arial"/>
                <w:sz w:val="18"/>
                <w:szCs w:val="18"/>
                <w:b w:val="1"/>
                <w:bCs w:val="1"/>
                <w:color w:val="FFFFFF"/>
                <w:vertAlign w:val="superscript"/>
              </w:rPr>
              <w:t>(2)</w:t>
            </w:r>
          </w:p>
        </w:tc>
        <w:tc>
          <w:tcPr>
            <w:tcW w:w="2480" w:type="dxa"/>
            <w:vAlign w:val="bottom"/>
            <w:shd w:val="clear" w:color="auto" w:fill="C43776"/>
          </w:tcPr>
          <w:p>
            <w:pPr>
              <w:jc w:val="right"/>
              <w:ind w:right="69"/>
              <w:spacing w:after="0" w:line="201" w:lineRule="exact"/>
              <w:rPr>
                <w:sz w:val="20"/>
                <w:szCs w:val="20"/>
                <w:color w:val="auto"/>
              </w:rPr>
            </w:pPr>
            <w:r>
              <w:rPr>
                <w:rFonts w:ascii="Arial" w:cs="Arial" w:eastAsia="Arial" w:hAnsi="Arial"/>
                <w:sz w:val="14"/>
                <w:szCs w:val="14"/>
                <w:b w:val="1"/>
                <w:bCs w:val="1"/>
                <w:color w:val="FFFFFF"/>
              </w:rPr>
              <w:t>Reflected in Column (a))</w:t>
            </w:r>
            <w:r>
              <w:rPr>
                <w:rFonts w:ascii="Arial" w:cs="Arial" w:eastAsia="Arial" w:hAnsi="Arial"/>
                <w:sz w:val="18"/>
                <w:szCs w:val="18"/>
                <w:b w:val="1"/>
                <w:bCs w:val="1"/>
                <w:color w:val="FFFFFF"/>
                <w:vertAlign w:val="superscript"/>
              </w:rPr>
              <w:t>(3)</w:t>
            </w:r>
          </w:p>
        </w:tc>
        <w:tc>
          <w:tcPr>
            <w:tcW w:w="0" w:type="dxa"/>
            <w:vAlign w:val="bottom"/>
          </w:tcPr>
          <w:p>
            <w:pPr>
              <w:spacing w:after="0"/>
              <w:rPr>
                <w:sz w:val="1"/>
                <w:szCs w:val="1"/>
                <w:color w:val="auto"/>
              </w:rPr>
            </w:pPr>
          </w:p>
        </w:tc>
      </w:tr>
      <w:tr>
        <w:trPr>
          <w:trHeight w:val="270"/>
        </w:trPr>
        <w:tc>
          <w:tcPr>
            <w:tcW w:w="100" w:type="dxa"/>
            <w:vAlign w:val="bottom"/>
            <w:shd w:val="clear" w:color="auto" w:fill="C43776"/>
          </w:tcPr>
          <w:p>
            <w:pPr>
              <w:spacing w:after="0"/>
              <w:rPr>
                <w:sz w:val="23"/>
                <w:szCs w:val="23"/>
                <w:color w:val="auto"/>
              </w:rPr>
            </w:pPr>
          </w:p>
        </w:tc>
        <w:tc>
          <w:tcPr>
            <w:tcW w:w="222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Plan Category</w:t>
            </w:r>
          </w:p>
        </w:tc>
        <w:tc>
          <w:tcPr>
            <w:tcW w:w="19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w:t>
            </w:r>
          </w:p>
        </w:tc>
        <w:tc>
          <w:tcPr>
            <w:tcW w:w="2300" w:type="dxa"/>
            <w:vAlign w:val="bottom"/>
            <w:shd w:val="clear" w:color="auto" w:fill="C43776"/>
          </w:tcPr>
          <w:p>
            <w:pPr>
              <w:jc w:val="right"/>
              <w:ind w:right="69"/>
              <w:spacing w:after="0"/>
              <w:rPr>
                <w:sz w:val="20"/>
                <w:szCs w:val="20"/>
                <w:color w:val="auto"/>
              </w:rPr>
            </w:pPr>
            <w:r>
              <w:rPr>
                <w:rFonts w:ascii="Arial" w:cs="Arial" w:eastAsia="Arial" w:hAnsi="Arial"/>
                <w:sz w:val="13"/>
                <w:szCs w:val="13"/>
                <w:b w:val="1"/>
                <w:bCs w:val="1"/>
                <w:color w:val="FFFFFF"/>
              </w:rPr>
              <w:t>(b)</w:t>
            </w:r>
          </w:p>
        </w:tc>
        <w:tc>
          <w:tcPr>
            <w:tcW w:w="2480" w:type="dxa"/>
            <w:vAlign w:val="bottom"/>
            <w:shd w:val="clear" w:color="auto" w:fill="C43776"/>
          </w:tcPr>
          <w:p>
            <w:pPr>
              <w:jc w:val="right"/>
              <w:ind w:right="69"/>
              <w:spacing w:after="0"/>
              <w:rPr>
                <w:sz w:val="20"/>
                <w:szCs w:val="20"/>
                <w:color w:val="auto"/>
              </w:rPr>
            </w:pPr>
            <w:r>
              <w:rPr>
                <w:rFonts w:ascii="Arial" w:cs="Arial" w:eastAsia="Arial" w:hAnsi="Arial"/>
                <w:sz w:val="13"/>
                <w:szCs w:val="13"/>
                <w:b w:val="1"/>
                <w:bCs w:val="1"/>
                <w:color w:val="FFFFFF"/>
              </w:rPr>
              <w:t>(c)</w:t>
            </w:r>
          </w:p>
        </w:tc>
        <w:tc>
          <w:tcPr>
            <w:tcW w:w="0" w:type="dxa"/>
            <w:vAlign w:val="bottom"/>
          </w:tcPr>
          <w:p>
            <w:pPr>
              <w:spacing w:after="0"/>
              <w:rPr>
                <w:sz w:val="1"/>
                <w:szCs w:val="1"/>
                <w:color w:val="auto"/>
              </w:rPr>
            </w:pPr>
          </w:p>
        </w:tc>
      </w:tr>
      <w:tr>
        <w:trPr>
          <w:trHeight w:val="95"/>
        </w:trPr>
        <w:tc>
          <w:tcPr>
            <w:tcW w:w="100" w:type="dxa"/>
            <w:vAlign w:val="bottom"/>
            <w:shd w:val="clear" w:color="auto" w:fill="C43776"/>
          </w:tcPr>
          <w:p>
            <w:pPr>
              <w:spacing w:after="0"/>
              <w:rPr>
                <w:sz w:val="8"/>
                <w:szCs w:val="8"/>
                <w:color w:val="auto"/>
              </w:rPr>
            </w:pPr>
          </w:p>
        </w:tc>
        <w:tc>
          <w:tcPr>
            <w:tcW w:w="2220" w:type="dxa"/>
            <w:vAlign w:val="bottom"/>
            <w:shd w:val="clear" w:color="auto" w:fill="C43776"/>
          </w:tcPr>
          <w:p>
            <w:pPr>
              <w:spacing w:after="0"/>
              <w:rPr>
                <w:sz w:val="8"/>
                <w:szCs w:val="8"/>
                <w:color w:val="auto"/>
              </w:rPr>
            </w:pPr>
          </w:p>
        </w:tc>
        <w:tc>
          <w:tcPr>
            <w:tcW w:w="1980" w:type="dxa"/>
            <w:vAlign w:val="bottom"/>
            <w:shd w:val="clear" w:color="auto" w:fill="C43776"/>
          </w:tcPr>
          <w:p>
            <w:pPr>
              <w:spacing w:after="0"/>
              <w:rPr>
                <w:sz w:val="8"/>
                <w:szCs w:val="8"/>
                <w:color w:val="auto"/>
              </w:rPr>
            </w:pPr>
          </w:p>
        </w:tc>
        <w:tc>
          <w:tcPr>
            <w:tcW w:w="2300" w:type="dxa"/>
            <w:vAlign w:val="bottom"/>
            <w:shd w:val="clear" w:color="auto" w:fill="C43776"/>
          </w:tcPr>
          <w:p>
            <w:pPr>
              <w:spacing w:after="0"/>
              <w:rPr>
                <w:sz w:val="8"/>
                <w:szCs w:val="8"/>
                <w:color w:val="auto"/>
              </w:rPr>
            </w:pPr>
          </w:p>
        </w:tc>
        <w:tc>
          <w:tcPr>
            <w:tcW w:w="248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Equity Compensation Plans</w:t>
            </w:r>
          </w:p>
        </w:tc>
        <w:tc>
          <w:tcPr>
            <w:tcW w:w="1980" w:type="dxa"/>
            <w:vAlign w:val="bottom"/>
            <w:vMerge w:val="restart"/>
          </w:tcPr>
          <w:p>
            <w:pPr>
              <w:jc w:val="right"/>
              <w:spacing w:after="0"/>
              <w:rPr>
                <w:sz w:val="20"/>
                <w:szCs w:val="20"/>
                <w:color w:val="auto"/>
              </w:rPr>
            </w:pPr>
            <w:r>
              <w:rPr>
                <w:rFonts w:ascii="Arial" w:cs="Arial" w:eastAsia="Arial" w:hAnsi="Arial"/>
                <w:sz w:val="14"/>
                <w:szCs w:val="14"/>
                <w:color w:val="auto"/>
              </w:rPr>
              <w:t>3,309,248</w:t>
            </w:r>
          </w:p>
        </w:tc>
        <w:tc>
          <w:tcPr>
            <w:tcW w:w="2300" w:type="dxa"/>
            <w:vAlign w:val="bottom"/>
            <w:vMerge w:val="restart"/>
          </w:tcPr>
          <w:p>
            <w:pPr>
              <w:jc w:val="right"/>
              <w:ind w:right="69"/>
              <w:spacing w:after="0"/>
              <w:rPr>
                <w:sz w:val="20"/>
                <w:szCs w:val="20"/>
                <w:color w:val="auto"/>
              </w:rPr>
            </w:pPr>
            <w:r>
              <w:rPr>
                <w:rFonts w:ascii="Arial" w:cs="Arial" w:eastAsia="Arial" w:hAnsi="Arial"/>
                <w:sz w:val="14"/>
                <w:szCs w:val="14"/>
                <w:color w:val="auto"/>
              </w:rPr>
              <w:t>$227.70</w:t>
            </w:r>
          </w:p>
        </w:tc>
        <w:tc>
          <w:tcPr>
            <w:tcW w:w="2480" w:type="dxa"/>
            <w:vAlign w:val="bottom"/>
            <w:vMerge w:val="restart"/>
          </w:tcPr>
          <w:p>
            <w:pPr>
              <w:jc w:val="right"/>
              <w:ind w:right="69"/>
              <w:spacing w:after="0"/>
              <w:rPr>
                <w:sz w:val="20"/>
                <w:szCs w:val="20"/>
                <w:color w:val="auto"/>
              </w:rPr>
            </w:pPr>
            <w:r>
              <w:rPr>
                <w:rFonts w:ascii="Arial" w:cs="Arial" w:eastAsia="Arial" w:hAnsi="Arial"/>
                <w:sz w:val="14"/>
                <w:szCs w:val="14"/>
                <w:color w:val="auto"/>
              </w:rPr>
              <w:t>2,520,941</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220" w:type="dxa"/>
            <w:vAlign w:val="bottom"/>
            <w:vMerge w:val="restart"/>
          </w:tcPr>
          <w:p>
            <w:pPr>
              <w:ind w:left="40"/>
              <w:spacing w:after="0"/>
              <w:rPr>
                <w:sz w:val="20"/>
                <w:szCs w:val="20"/>
                <w:color w:val="auto"/>
              </w:rPr>
            </w:pPr>
            <w:r>
              <w:rPr>
                <w:rFonts w:ascii="Arial" w:cs="Arial" w:eastAsia="Arial" w:hAnsi="Arial"/>
                <w:sz w:val="14"/>
                <w:szCs w:val="14"/>
                <w:color w:val="auto"/>
              </w:rPr>
              <w:t>Approved by Security Holders</w:t>
            </w:r>
          </w:p>
        </w:tc>
        <w:tc>
          <w:tcPr>
            <w:tcW w:w="198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00" w:type="dxa"/>
            <w:vAlign w:val="bottom"/>
            <w:shd w:val="clear" w:color="auto" w:fill="F1F2F2"/>
          </w:tcPr>
          <w:p>
            <w:pPr>
              <w:spacing w:after="0"/>
              <w:rPr>
                <w:sz w:val="22"/>
                <w:szCs w:val="22"/>
                <w:color w:val="auto"/>
              </w:rPr>
            </w:pPr>
          </w:p>
        </w:tc>
        <w:tc>
          <w:tcPr>
            <w:tcW w:w="2220" w:type="dxa"/>
            <w:vAlign w:val="bottom"/>
            <w:shd w:val="clear" w:color="auto" w:fill="F1F2F2"/>
          </w:tcPr>
          <w:p>
            <w:pPr>
              <w:ind w:left="40"/>
              <w:spacing w:after="0"/>
              <w:rPr>
                <w:sz w:val="20"/>
                <w:szCs w:val="20"/>
                <w:color w:val="auto"/>
              </w:rPr>
            </w:pPr>
            <w:r>
              <w:rPr>
                <w:rFonts w:ascii="Arial" w:cs="Arial" w:eastAsia="Arial" w:hAnsi="Arial"/>
                <w:sz w:val="14"/>
                <w:szCs w:val="14"/>
                <w:color w:val="auto"/>
              </w:rPr>
              <w:t>Equity Compensation Plans Not</w:t>
            </w:r>
          </w:p>
        </w:tc>
        <w:tc>
          <w:tcPr>
            <w:tcW w:w="198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300" w:type="dxa"/>
            <w:vAlign w:val="bottom"/>
            <w:vMerge w:val="restart"/>
            <w:shd w:val="clear" w:color="auto" w:fill="F1F2F2"/>
          </w:tcPr>
          <w:p>
            <w:pPr>
              <w:jc w:val="right"/>
              <w:ind w:right="69"/>
              <w:spacing w:after="0"/>
              <w:rPr>
                <w:sz w:val="20"/>
                <w:szCs w:val="20"/>
                <w:color w:val="auto"/>
              </w:rPr>
            </w:pPr>
            <w:r>
              <w:rPr>
                <w:rFonts w:ascii="Arial" w:cs="Arial" w:eastAsia="Arial" w:hAnsi="Arial"/>
                <w:sz w:val="14"/>
                <w:szCs w:val="14"/>
                <w:color w:val="auto"/>
              </w:rPr>
              <w:t>—</w:t>
            </w:r>
          </w:p>
        </w:tc>
        <w:tc>
          <w:tcPr>
            <w:tcW w:w="2480" w:type="dxa"/>
            <w:vAlign w:val="bottom"/>
            <w:vMerge w:val="restart"/>
            <w:shd w:val="clear" w:color="auto" w:fill="F1F2F2"/>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100" w:type="dxa"/>
            <w:vAlign w:val="bottom"/>
            <w:shd w:val="clear" w:color="auto" w:fill="F1F2F2"/>
          </w:tcPr>
          <w:p>
            <w:pPr>
              <w:spacing w:after="0"/>
              <w:rPr>
                <w:sz w:val="8"/>
                <w:szCs w:val="8"/>
                <w:color w:val="auto"/>
              </w:rPr>
            </w:pPr>
          </w:p>
        </w:tc>
        <w:tc>
          <w:tcPr>
            <w:tcW w:w="2220" w:type="dxa"/>
            <w:vAlign w:val="bottom"/>
            <w:vMerge w:val="restart"/>
            <w:shd w:val="clear" w:color="auto" w:fill="F1F2F2"/>
          </w:tcPr>
          <w:p>
            <w:pPr>
              <w:ind w:left="40"/>
              <w:spacing w:after="0"/>
              <w:rPr>
                <w:sz w:val="20"/>
                <w:szCs w:val="20"/>
                <w:color w:val="auto"/>
              </w:rPr>
            </w:pPr>
            <w:r>
              <w:rPr>
                <w:rFonts w:ascii="Arial" w:cs="Arial" w:eastAsia="Arial" w:hAnsi="Arial"/>
                <w:sz w:val="14"/>
                <w:szCs w:val="14"/>
                <w:color w:val="auto"/>
              </w:rPr>
              <w:t>Approved by Security Holders</w:t>
            </w:r>
          </w:p>
        </w:tc>
        <w:tc>
          <w:tcPr>
            <w:tcW w:w="1980" w:type="dxa"/>
            <w:vAlign w:val="bottom"/>
            <w:vMerge w:val="continue"/>
            <w:shd w:val="clear" w:color="auto" w:fill="F1F2F2"/>
          </w:tcPr>
          <w:p>
            <w:pPr>
              <w:spacing w:after="0"/>
              <w:rPr>
                <w:sz w:val="8"/>
                <w:szCs w:val="8"/>
                <w:color w:val="auto"/>
              </w:rPr>
            </w:pPr>
          </w:p>
        </w:tc>
        <w:tc>
          <w:tcPr>
            <w:tcW w:w="2300" w:type="dxa"/>
            <w:vAlign w:val="bottom"/>
            <w:vMerge w:val="continue"/>
            <w:shd w:val="clear" w:color="auto" w:fill="F1F2F2"/>
          </w:tcPr>
          <w:p>
            <w:pPr>
              <w:spacing w:after="0"/>
              <w:rPr>
                <w:sz w:val="8"/>
                <w:szCs w:val="8"/>
                <w:color w:val="auto"/>
              </w:rPr>
            </w:pPr>
          </w:p>
        </w:tc>
        <w:tc>
          <w:tcPr>
            <w:tcW w:w="248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F1F2F2"/>
            </w:tcBorders>
            <w:shd w:val="clear" w:color="auto" w:fill="F1F2F2"/>
          </w:tcPr>
          <w:p>
            <w:pPr>
              <w:spacing w:after="0"/>
              <w:rPr>
                <w:sz w:val="10"/>
                <w:szCs w:val="10"/>
                <w:color w:val="auto"/>
              </w:rPr>
            </w:pPr>
          </w:p>
        </w:tc>
        <w:tc>
          <w:tcPr>
            <w:tcW w:w="2220" w:type="dxa"/>
            <w:vAlign w:val="bottom"/>
            <w:tcBorders>
              <w:bottom w:val="single" w:sz="8" w:color="F1F2F2"/>
            </w:tcBorders>
            <w:vMerge w:val="continue"/>
            <w:shd w:val="clear" w:color="auto" w:fill="F1F2F2"/>
          </w:tcPr>
          <w:p>
            <w:pPr>
              <w:spacing w:after="0"/>
              <w:rPr>
                <w:sz w:val="10"/>
                <w:szCs w:val="10"/>
                <w:color w:val="auto"/>
              </w:rPr>
            </w:pPr>
          </w:p>
        </w:tc>
        <w:tc>
          <w:tcPr>
            <w:tcW w:w="1980" w:type="dxa"/>
            <w:vAlign w:val="bottom"/>
            <w:tcBorders>
              <w:bottom w:val="single" w:sz="8" w:color="F1F2F2"/>
            </w:tcBorders>
            <w:shd w:val="clear" w:color="auto" w:fill="F1F2F2"/>
          </w:tcPr>
          <w:p>
            <w:pPr>
              <w:spacing w:after="0"/>
              <w:rPr>
                <w:sz w:val="10"/>
                <w:szCs w:val="10"/>
                <w:color w:val="auto"/>
              </w:rPr>
            </w:pPr>
          </w:p>
        </w:tc>
        <w:tc>
          <w:tcPr>
            <w:tcW w:w="2300" w:type="dxa"/>
            <w:vAlign w:val="bottom"/>
            <w:tcBorders>
              <w:bottom w:val="single" w:sz="8" w:color="F1F2F2"/>
            </w:tcBorders>
            <w:shd w:val="clear" w:color="auto" w:fill="F1F2F2"/>
          </w:tcPr>
          <w:p>
            <w:pPr>
              <w:spacing w:after="0"/>
              <w:rPr>
                <w:sz w:val="10"/>
                <w:szCs w:val="10"/>
                <w:color w:val="auto"/>
              </w:rPr>
            </w:pPr>
          </w:p>
        </w:tc>
        <w:tc>
          <w:tcPr>
            <w:tcW w:w="2480" w:type="dxa"/>
            <w:vAlign w:val="bottom"/>
            <w:tcBorders>
              <w:bottom w:val="single" w:sz="8" w:color="F1F2F2"/>
            </w:tcBorders>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Total</w:t>
            </w:r>
          </w:p>
        </w:tc>
        <w:tc>
          <w:tcPr>
            <w:tcW w:w="1980" w:type="dxa"/>
            <w:vAlign w:val="bottom"/>
          </w:tcPr>
          <w:p>
            <w:pPr>
              <w:jc w:val="right"/>
              <w:spacing w:after="0"/>
              <w:rPr>
                <w:sz w:val="20"/>
                <w:szCs w:val="20"/>
                <w:color w:val="auto"/>
              </w:rPr>
            </w:pPr>
            <w:r>
              <w:rPr>
                <w:rFonts w:ascii="Arial" w:cs="Arial" w:eastAsia="Arial" w:hAnsi="Arial"/>
                <w:sz w:val="14"/>
                <w:szCs w:val="14"/>
                <w:color w:val="auto"/>
              </w:rPr>
              <w:t>3,309,248</w:t>
            </w:r>
          </w:p>
        </w:tc>
        <w:tc>
          <w:tcPr>
            <w:tcW w:w="2300" w:type="dxa"/>
            <w:vAlign w:val="bottom"/>
          </w:tcPr>
          <w:p>
            <w:pPr>
              <w:jc w:val="right"/>
              <w:ind w:right="69"/>
              <w:spacing w:after="0"/>
              <w:rPr>
                <w:sz w:val="20"/>
                <w:szCs w:val="20"/>
                <w:color w:val="auto"/>
              </w:rPr>
            </w:pPr>
            <w:r>
              <w:rPr>
                <w:rFonts w:ascii="Arial" w:cs="Arial" w:eastAsia="Arial" w:hAnsi="Arial"/>
                <w:sz w:val="14"/>
                <w:szCs w:val="14"/>
                <w:color w:val="auto"/>
              </w:rPr>
              <w:t>$227.70</w:t>
            </w:r>
          </w:p>
        </w:tc>
        <w:tc>
          <w:tcPr>
            <w:tcW w:w="2480" w:type="dxa"/>
            <w:vAlign w:val="bottom"/>
          </w:tcPr>
          <w:p>
            <w:pPr>
              <w:jc w:val="right"/>
              <w:ind w:right="69"/>
              <w:spacing w:after="0"/>
              <w:rPr>
                <w:sz w:val="20"/>
                <w:szCs w:val="20"/>
                <w:color w:val="auto"/>
              </w:rPr>
            </w:pPr>
            <w:r>
              <w:rPr>
                <w:rFonts w:ascii="Arial" w:cs="Arial" w:eastAsia="Arial" w:hAnsi="Arial"/>
                <w:sz w:val="14"/>
                <w:szCs w:val="14"/>
                <w:color w:val="auto"/>
              </w:rPr>
              <w:t>2,520,941</w:t>
            </w:r>
          </w:p>
        </w:tc>
        <w:tc>
          <w:tcPr>
            <w:tcW w:w="0" w:type="dxa"/>
            <w:vAlign w:val="bottom"/>
          </w:tcPr>
          <w:p>
            <w:pPr>
              <w:spacing w:after="0"/>
              <w:rPr>
                <w:sz w:val="1"/>
                <w:szCs w:val="1"/>
                <w:color w:val="auto"/>
              </w:rPr>
            </w:pPr>
          </w:p>
        </w:tc>
      </w:tr>
      <w:tr>
        <w:trPr>
          <w:trHeight w:val="62"/>
        </w:trPr>
        <w:tc>
          <w:tcPr>
            <w:tcW w:w="100" w:type="dxa"/>
            <w:vAlign w:val="bottom"/>
            <w:tcBorders>
              <w:bottom w:val="single" w:sz="8" w:color="C43776"/>
            </w:tcBorders>
          </w:tcPr>
          <w:p>
            <w:pPr>
              <w:spacing w:after="0"/>
              <w:rPr>
                <w:sz w:val="5"/>
                <w:szCs w:val="5"/>
                <w:color w:val="auto"/>
              </w:rPr>
            </w:pPr>
          </w:p>
        </w:tc>
        <w:tc>
          <w:tcPr>
            <w:tcW w:w="2220" w:type="dxa"/>
            <w:vAlign w:val="bottom"/>
            <w:tcBorders>
              <w:bottom w:val="single" w:sz="8" w:color="C43776"/>
            </w:tcBorders>
          </w:tcPr>
          <w:p>
            <w:pPr>
              <w:spacing w:after="0"/>
              <w:rPr>
                <w:sz w:val="5"/>
                <w:szCs w:val="5"/>
                <w:color w:val="auto"/>
              </w:rPr>
            </w:pPr>
          </w:p>
        </w:tc>
        <w:tc>
          <w:tcPr>
            <w:tcW w:w="1980" w:type="dxa"/>
            <w:vAlign w:val="bottom"/>
            <w:tcBorders>
              <w:bottom w:val="single" w:sz="8" w:color="C43776"/>
            </w:tcBorders>
          </w:tcPr>
          <w:p>
            <w:pPr>
              <w:spacing w:after="0"/>
              <w:rPr>
                <w:sz w:val="5"/>
                <w:szCs w:val="5"/>
                <w:color w:val="auto"/>
              </w:rPr>
            </w:pPr>
          </w:p>
        </w:tc>
        <w:tc>
          <w:tcPr>
            <w:tcW w:w="2300" w:type="dxa"/>
            <w:vAlign w:val="bottom"/>
            <w:tcBorders>
              <w:bottom w:val="single" w:sz="8" w:color="C43776"/>
            </w:tcBorders>
          </w:tcPr>
          <w:p>
            <w:pPr>
              <w:spacing w:after="0"/>
              <w:rPr>
                <w:sz w:val="5"/>
                <w:szCs w:val="5"/>
                <w:color w:val="auto"/>
              </w:rPr>
            </w:pPr>
          </w:p>
        </w:tc>
        <w:tc>
          <w:tcPr>
            <w:tcW w:w="2480" w:type="dxa"/>
            <w:vAlign w:val="bottom"/>
            <w:tcBorders>
              <w:bottom w:val="single" w:sz="8" w:color="C4377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Includes performance-based awards assuming the maximum level of performance, which may overstate the dilution associated with such awards.</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The weighted-average exercise price relates to outstanding stock options only. The Company’s other equity awards have no exercise price.</w:t>
      </w:r>
    </w:p>
    <w:p>
      <w:pPr>
        <w:spacing w:after="0" w:line="53" w:lineRule="exact"/>
        <w:rPr>
          <w:rFonts w:ascii="Arial" w:cs="Arial" w:eastAsia="Arial" w:hAnsi="Arial"/>
          <w:sz w:val="13"/>
          <w:szCs w:val="13"/>
          <w:i w:val="1"/>
          <w:iCs w:val="1"/>
          <w:color w:val="auto"/>
        </w:rPr>
      </w:pPr>
    </w:p>
    <w:p>
      <w:pPr>
        <w:ind w:left="340" w:hanging="332"/>
        <w:spacing w:after="0"/>
        <w:tabs>
          <w:tab w:leader="none" w:pos="34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All of the shares available under the 2010 Plan may be issued for awards, such as restricted stock, in addition to options, warrants 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54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1440" w:right="1419" w:bottom="1440" w:gutter="0" w:footer="0" w:header="0"/>
        </w:sectPr>
      </w:pPr>
    </w:p>
    <w:bookmarkStart w:id="60" w:name="page61"/>
    <w:bookmarkEnd w:id="6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08. Compensation Committee Report</w:t>
      </w:r>
    </w:p>
    <w:p>
      <w:pPr>
        <w:spacing w:after="0" w:line="200" w:lineRule="exact"/>
        <w:rPr>
          <w:sz w:val="20"/>
          <w:szCs w:val="20"/>
          <w:color w:val="auto"/>
        </w:rPr>
      </w:pPr>
    </w:p>
    <w:p>
      <w:pPr>
        <w:spacing w:after="0" w:line="222" w:lineRule="exact"/>
        <w:rPr>
          <w:sz w:val="20"/>
          <w:szCs w:val="20"/>
          <w:color w:val="auto"/>
        </w:rPr>
      </w:pPr>
    </w:p>
    <w:p>
      <w:pPr>
        <w:ind w:right="239"/>
        <w:spacing w:after="0" w:line="265"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that the Compensation Discussion and Analysis be included in this Proxy Statement and in our Annual Report on Form 10-K for the fiscal year ended December 31, 2025.</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67" w:lineRule="exact"/>
        <w:rPr>
          <w:sz w:val="20"/>
          <w:szCs w:val="20"/>
          <w:color w:val="auto"/>
        </w:rPr>
      </w:pPr>
    </w:p>
    <w:p>
      <w:pPr>
        <w:ind w:left="340" w:hanging="251"/>
        <w:spacing w:after="0"/>
        <w:tabs>
          <w:tab w:leader="none" w:pos="340" w:val="left"/>
        </w:tabs>
        <w:numPr>
          <w:ilvl w:val="0"/>
          <w:numId w:val="61"/>
        </w:numPr>
        <w:rPr>
          <w:rFonts w:ascii="Arial" w:cs="Arial" w:eastAsia="Arial" w:hAnsi="Arial"/>
          <w:sz w:val="11"/>
          <w:szCs w:val="11"/>
          <w:color w:val="BE1549"/>
        </w:rPr>
      </w:pPr>
      <w:r>
        <w:rPr>
          <w:rFonts w:ascii="Arial" w:cs="Arial" w:eastAsia="Arial" w:hAnsi="Arial"/>
          <w:sz w:val="16"/>
          <w:szCs w:val="16"/>
          <w:color w:val="auto"/>
        </w:rPr>
        <w:t>Joseph W. Farrelly (Chair)</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61"/>
        </w:numPr>
        <w:rPr>
          <w:rFonts w:ascii="Arial" w:cs="Arial" w:eastAsia="Arial" w:hAnsi="Arial"/>
          <w:sz w:val="11"/>
          <w:szCs w:val="11"/>
          <w:color w:val="BE1549"/>
        </w:rPr>
      </w:pPr>
      <w:r>
        <w:rPr>
          <w:rFonts w:ascii="Arial" w:cs="Arial" w:eastAsia="Arial" w:hAnsi="Arial"/>
          <w:sz w:val="16"/>
          <w:szCs w:val="16"/>
          <w:color w:val="auto"/>
        </w:rPr>
        <w:t>Annabelle Bexiga</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61"/>
        </w:numPr>
        <w:rPr>
          <w:rFonts w:ascii="Arial" w:cs="Arial" w:eastAsia="Arial" w:hAnsi="Arial"/>
          <w:sz w:val="11"/>
          <w:szCs w:val="11"/>
          <w:color w:val="BE1549"/>
        </w:rPr>
      </w:pPr>
      <w:r>
        <w:rPr>
          <w:rFonts w:ascii="Arial" w:cs="Arial" w:eastAsia="Arial" w:hAnsi="Arial"/>
          <w:sz w:val="16"/>
          <w:szCs w:val="16"/>
          <w:color w:val="auto"/>
        </w:rPr>
        <w:t>Thomas M. Hagerty</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61"/>
        </w:numPr>
        <w:rPr>
          <w:rFonts w:ascii="Arial" w:cs="Arial" w:eastAsia="Arial" w:hAnsi="Arial"/>
          <w:sz w:val="11"/>
          <w:szCs w:val="11"/>
          <w:color w:val="BE1549"/>
        </w:rPr>
      </w:pPr>
      <w:r>
        <w:rPr>
          <w:rFonts w:ascii="Arial" w:cs="Arial" w:eastAsia="Arial" w:hAnsi="Arial"/>
          <w:sz w:val="16"/>
          <w:szCs w:val="16"/>
          <w:color w:val="auto"/>
        </w:rPr>
        <w:t>Hala G. Moddelmog</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61"/>
        </w:numPr>
        <w:rPr>
          <w:rFonts w:ascii="Arial" w:cs="Arial" w:eastAsia="Arial" w:hAnsi="Arial"/>
          <w:sz w:val="11"/>
          <w:szCs w:val="11"/>
          <w:color w:val="BE1549"/>
        </w:rPr>
      </w:pPr>
      <w:r>
        <w:rPr>
          <w:rFonts w:ascii="Arial" w:cs="Arial" w:eastAsia="Arial" w:hAnsi="Arial"/>
          <w:sz w:val="16"/>
          <w:szCs w:val="16"/>
          <w:color w:val="auto"/>
        </w:rPr>
        <w:t>Steven T. Stull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19"/>
        <w:spacing w:after="0"/>
        <w:tabs>
          <w:tab w:leader="none" w:pos="14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55</w:t>
      </w:r>
    </w:p>
    <w:p>
      <w:pPr>
        <w:sectPr>
          <w:pgSz w:w="11900" w:h="16838" w:orient="portrait"/>
          <w:cols w:equalWidth="0" w:num="1">
            <w:col w:w="9059"/>
          </w:cols>
          <w:pgMar w:left="1400" w:top="1440" w:right="1440" w:bottom="1440" w:gutter="0" w:footer="0" w:header="0"/>
        </w:sectPr>
      </w:pPr>
    </w:p>
    <w:bookmarkStart w:id="61" w:name="page62"/>
    <w:bookmarkEnd w:id="6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right="1239" w:firstLine="8"/>
        <w:spacing w:after="0" w:line="280" w:lineRule="auto"/>
        <w:tabs>
          <w:tab w:leader="none" w:pos="660" w:val="left"/>
        </w:tabs>
        <w:numPr>
          <w:ilvl w:val="0"/>
          <w:numId w:val="62"/>
        </w:numPr>
        <w:rPr>
          <w:rFonts w:ascii="Arial" w:cs="Arial" w:eastAsia="Arial" w:hAnsi="Arial"/>
          <w:sz w:val="40"/>
          <w:szCs w:val="40"/>
          <w:color w:val="auto"/>
        </w:rPr>
      </w:pPr>
      <w:r>
        <w:rPr>
          <w:rFonts w:ascii="Arial" w:cs="Arial" w:eastAsia="Arial" w:hAnsi="Arial"/>
          <w:sz w:val="40"/>
          <w:szCs w:val="40"/>
          <w:color w:val="auto"/>
        </w:rPr>
        <w:t>Compensation Committee Interlocks and Insider Participation</w:t>
      </w:r>
    </w:p>
    <w:p>
      <w:pPr>
        <w:spacing w:after="0" w:line="281" w:lineRule="exact"/>
        <w:rPr>
          <w:sz w:val="20"/>
          <w:szCs w:val="20"/>
          <w:color w:val="auto"/>
        </w:rPr>
      </w:pPr>
    </w:p>
    <w:p>
      <w:pPr>
        <w:ind w:right="99"/>
        <w:spacing w:after="0" w:line="304" w:lineRule="auto"/>
        <w:rPr>
          <w:sz w:val="20"/>
          <w:szCs w:val="20"/>
          <w:color w:val="auto"/>
        </w:rPr>
      </w:pPr>
      <w:r>
        <w:rPr>
          <w:rFonts w:ascii="Arial" w:cs="Arial" w:eastAsia="Arial" w:hAnsi="Arial"/>
          <w:sz w:val="16"/>
          <w:szCs w:val="16"/>
          <w:color w:val="auto"/>
        </w:rPr>
        <w:t>None of our executive officers currently serves on the compensation committee or board of directors of any other company of which any member or proposed member of our compensation committee is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56</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59"/>
          </w:cols>
          <w:pgMar w:left="1400" w:top="1440" w:right="1440" w:bottom="1440" w:gutter="0" w:footer="0" w:header="0"/>
        </w:sectPr>
      </w:pPr>
    </w:p>
    <w:bookmarkStart w:id="62" w:name="page63"/>
    <w:bookmarkEnd w:id="6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10. CEO Pay Ratio</w:t>
      </w:r>
    </w:p>
    <w:p>
      <w:pPr>
        <w:spacing w:after="0" w:line="200" w:lineRule="exact"/>
        <w:rPr>
          <w:sz w:val="20"/>
          <w:szCs w:val="20"/>
          <w:color w:val="auto"/>
        </w:rPr>
      </w:pP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As required by item 402(u) of Regulation S-K, the compensation committee reviewed a comparison of our CEO’s annual total compensation in fiscal year 2025 to that of all other Company employees for the same period. We identified our median employee by determining December 2025 pay (which was our consistently applied compensation measure for purposes of this disclosure) for all of our employees (as defined for purposes of Item 402(u) of Regulation S-K), excluding our CEO, who were employed by us on December 31, 2025. For this purpose, the total pay for each employee was determined by calculating such employee’s total December 2025 compensation using the same categories of compensation that are required to be included in the Summary Compensation Table. We then annualized that total for each employee, but did not annualize the compensation for temporary or seasonal employees or make full-time equivalent adjustments. We did not make any cost-of-living adjustments when identifying our median employee. We applied a foreign currency to U.S. dollar exchange rate to the compensation paid in foreign currency based on average rates for 2025.</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annual total compensation for fiscal year 2025 for our CEO was $3,406,867, as set forth in the 2025 Summary Compensation Table above, and for our median employee it was $52,527, making the resulting ratio approximately 65 to 1. This was calculated, in a manner consistent with Item 402(u) of SEC Regulation S-K, based on our payroll and employment records. The SEC rules for identifying the “median employee” and calculating the pay ratio based on that employee’s annual total compensation allow reporting companies to adopt a variety of methodologies,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Approximately 64% of our employees are located outside of the U.S., in several different countries. In several of these countries the cost of living is much lower than in the U.S., as is employee compensation. In light of this, we also conducted a review of compensation for our employees located only in the U.S. We included all such employees, and calculated the median of such employees using the same definitions and methodology as described above with respect to our full employee group. We determined that the annual total compensation of the median compensated U.S.-based employee, other than our CEO, was $84,222. The ratio of our CEO’s annual total compensation to that of such U.S.-based employee was approximately 40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57</w:t>
      </w:r>
    </w:p>
    <w:p>
      <w:pPr>
        <w:sectPr>
          <w:pgSz w:w="11900" w:h="16838" w:orient="portrait"/>
          <w:cols w:equalWidth="0" w:num="1">
            <w:col w:w="9060"/>
          </w:cols>
          <w:pgMar w:left="1400" w:top="1440" w:right="1439" w:bottom="1440" w:gutter="0" w:footer="0" w:header="0"/>
        </w:sectPr>
      </w:pPr>
    </w:p>
    <w:bookmarkStart w:id="63" w:name="page64"/>
    <w:bookmarkEnd w:id="63"/>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11. Pay Versus Performance Disclosure</w:t>
      </w:r>
    </w:p>
    <w:p>
      <w:pPr>
        <w:spacing w:after="0" w:line="200" w:lineRule="exact"/>
        <w:rPr>
          <w:sz w:val="20"/>
          <w:szCs w:val="20"/>
          <w:color w:val="auto"/>
        </w:rPr>
      </w:pPr>
    </w:p>
    <w:p>
      <w:pPr>
        <w:spacing w:after="0" w:line="22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required by the pay versus performance rules adopted by the SEC (“PVP Rules”), the below Pay Versus Performance table (“PVP Table”) provides information about compensation for this Proxy Statement’s NEOs, as well as NEOs from our 2024, 2023, 2022, and 2021 Proxy Statements (each of 2021</w:t>
      </w:r>
      <w:r>
        <w:rPr>
          <w:rFonts w:ascii="Arial" w:cs="Arial" w:eastAsia="Arial" w:hAnsi="Arial"/>
          <w:sz w:val="21"/>
          <w:szCs w:val="21"/>
          <w:color w:val="auto"/>
        </w:rPr>
        <w:t>,</w:t>
      </w:r>
      <w:r>
        <w:rPr>
          <w:rFonts w:ascii="Arial" w:cs="Arial" w:eastAsia="Arial" w:hAnsi="Arial"/>
          <w:sz w:val="16"/>
          <w:szCs w:val="16"/>
          <w:color w:val="auto"/>
        </w:rPr>
        <w:t xml:space="preserve"> 2022, 2023, 2024, and 2025, a “Covered Year”). The PVP Table also provides information about the results for certain financial performance measures during those same Covered Years. In reviewing this information, there are a few important things to consider:</w:t>
      </w:r>
    </w:p>
    <w:p>
      <w:pPr>
        <w:spacing w:after="0" w:line="118" w:lineRule="exact"/>
        <w:rPr>
          <w:sz w:val="20"/>
          <w:szCs w:val="20"/>
          <w:color w:val="auto"/>
        </w:rPr>
      </w:pPr>
    </w:p>
    <w:p>
      <w:pPr>
        <w:ind w:left="340" w:right="120" w:hanging="251"/>
        <w:spacing w:after="0" w:line="286" w:lineRule="auto"/>
        <w:tabs>
          <w:tab w:leader="none" w:pos="340" w:val="left"/>
        </w:tabs>
        <w:numPr>
          <w:ilvl w:val="0"/>
          <w:numId w:val="63"/>
        </w:numPr>
        <w:rPr>
          <w:rFonts w:ascii="Arial" w:cs="Arial" w:eastAsia="Arial" w:hAnsi="Arial"/>
          <w:sz w:val="11"/>
          <w:szCs w:val="11"/>
          <w:color w:val="BE1549"/>
        </w:rPr>
      </w:pPr>
      <w:r>
        <w:rPr>
          <w:rFonts w:ascii="Arial" w:cs="Arial" w:eastAsia="Arial" w:hAnsi="Arial"/>
          <w:sz w:val="16"/>
          <w:szCs w:val="16"/>
          <w:color w:val="auto"/>
        </w:rPr>
        <w:t>The information in columns (b) and (d) comes directly from this and prior years’ Summary Compensation Tables, without adjustment;</w:t>
      </w:r>
    </w:p>
    <w:p>
      <w:pPr>
        <w:spacing w:after="0" w:line="7" w:lineRule="exact"/>
        <w:rPr>
          <w:rFonts w:ascii="Arial" w:cs="Arial" w:eastAsia="Arial" w:hAnsi="Arial"/>
          <w:sz w:val="11"/>
          <w:szCs w:val="11"/>
          <w:color w:val="BE1549"/>
        </w:rPr>
      </w:pPr>
    </w:p>
    <w:p>
      <w:pPr>
        <w:ind w:left="340" w:right="140" w:hanging="251"/>
        <w:spacing w:after="0" w:line="265" w:lineRule="auto"/>
        <w:tabs>
          <w:tab w:leader="none" w:pos="340" w:val="left"/>
        </w:tabs>
        <w:numPr>
          <w:ilvl w:val="0"/>
          <w:numId w:val="63"/>
        </w:numPr>
        <w:rPr>
          <w:rFonts w:ascii="Arial" w:cs="Arial" w:eastAsia="Arial" w:hAnsi="Arial"/>
          <w:sz w:val="11"/>
          <w:szCs w:val="11"/>
          <w:color w:val="BE1549"/>
        </w:rPr>
      </w:pPr>
      <w:r>
        <w:rPr>
          <w:rFonts w:ascii="Arial" w:cs="Arial" w:eastAsia="Arial" w:hAnsi="Arial"/>
          <w:sz w:val="16"/>
          <w:szCs w:val="16"/>
          <w:color w:val="auto"/>
        </w:rPr>
        <w:t>As required by the PVP Rules, we describe the information in columns (c) and (e) as “compensation actually paid” (or “CAP”) to the applicable NEOs, but these CAP amounts do not entirely reflect compensation that our NEOs actually earned for their service in the Covered Years. Instead, CAP reflects a calculation involving a combination of realized pay (primarily for cash amounts) and realizable or accrued pay (primarily for equity awards); and</w:t>
      </w:r>
    </w:p>
    <w:p>
      <w:pPr>
        <w:spacing w:after="0" w:line="10" w:lineRule="exact"/>
        <w:rPr>
          <w:rFonts w:ascii="Arial" w:cs="Arial" w:eastAsia="Arial" w:hAnsi="Arial"/>
          <w:sz w:val="11"/>
          <w:szCs w:val="11"/>
          <w:color w:val="BE1549"/>
        </w:rPr>
      </w:pPr>
    </w:p>
    <w:p>
      <w:pPr>
        <w:ind w:left="340" w:right="20" w:hanging="251"/>
        <w:spacing w:after="0" w:line="265" w:lineRule="auto"/>
        <w:tabs>
          <w:tab w:leader="none" w:pos="340" w:val="left"/>
        </w:tabs>
        <w:numPr>
          <w:ilvl w:val="0"/>
          <w:numId w:val="63"/>
        </w:numPr>
        <w:rPr>
          <w:rFonts w:ascii="Arial" w:cs="Arial" w:eastAsia="Arial" w:hAnsi="Arial"/>
          <w:sz w:val="11"/>
          <w:szCs w:val="11"/>
          <w:color w:val="BE1549"/>
        </w:rPr>
      </w:pPr>
      <w:r>
        <w:rPr>
          <w:rFonts w:ascii="Arial" w:cs="Arial" w:eastAsia="Arial" w:hAnsi="Arial"/>
          <w:sz w:val="16"/>
          <w:szCs w:val="16"/>
          <w:color w:val="auto"/>
        </w:rPr>
        <w:t>As required by the PVP Rules, we provide information about our total shareholder return (“TSR”) results, PVP Peer Group (as defined below) TSR results and U.S. GAAP net income results (the “External Measures”) during the Covered Years in the PVP Table, but we did not actually base any compensation decisions for the NEOs on, or link any NEO pay to, these particular External Measures because the External Measures were not metrics used in our incentive plans during the Covered Years.</w:t>
      </w:r>
    </w:p>
    <w:p>
      <w:pPr>
        <w:spacing w:after="0" w:line="11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Due to the use of the Adjusted EPS-COMP in our Company Annual Equity Incentive, the Company has determined that, pursuant to the PVP Rules, Adjusted EPS-COMP should be designated as the “Company-Selected Measure” because we believe it is the most important financial measure that we used to link 2025 NEO pay to our performance.</w:t>
      </w:r>
    </w:p>
    <w:p>
      <w:pPr>
        <w:spacing w:after="0" w:line="76" w:lineRule="exact"/>
        <w:rPr>
          <w:sz w:val="20"/>
          <w:szCs w:val="20"/>
          <w:color w:val="auto"/>
        </w:rPr>
      </w:pPr>
    </w:p>
    <w:p>
      <w:pPr>
        <w:spacing w:after="0"/>
        <w:rPr>
          <w:sz w:val="20"/>
          <w:szCs w:val="20"/>
          <w:color w:val="auto"/>
        </w:rPr>
      </w:pPr>
      <w:r>
        <w:rPr>
          <w:rFonts w:ascii="Arial" w:cs="Arial" w:eastAsia="Arial" w:hAnsi="Arial"/>
          <w:sz w:val="32"/>
          <w:szCs w:val="32"/>
          <w:color w:val="C43776"/>
        </w:rPr>
        <w:t>Pay Versus Performance Table</w:t>
      </w:r>
      <w:r>
        <w:rPr>
          <w:rFonts w:ascii="Arial" w:cs="Arial" w:eastAsia="Arial" w:hAnsi="Arial"/>
          <w:sz w:val="42"/>
          <w:szCs w:val="42"/>
          <w:color w:val="C43776"/>
          <w:vertAlign w:val="superscript"/>
        </w:rPr>
        <w:t>(1)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80" w:type="dxa"/>
            <w:vAlign w:val="bottom"/>
            <w:shd w:val="clear" w:color="auto" w:fill="C43776"/>
          </w:tcPr>
          <w:p>
            <w:pPr>
              <w:spacing w:after="0"/>
              <w:rPr>
                <w:sz w:val="23"/>
                <w:szCs w:val="23"/>
                <w:color w:val="auto"/>
              </w:rPr>
            </w:pPr>
          </w:p>
        </w:tc>
        <w:tc>
          <w:tcPr>
            <w:tcW w:w="1060" w:type="dxa"/>
            <w:vAlign w:val="bottom"/>
            <w:shd w:val="clear" w:color="auto" w:fill="C43776"/>
          </w:tcPr>
          <w:p>
            <w:pPr>
              <w:spacing w:after="0"/>
              <w:rPr>
                <w:sz w:val="23"/>
                <w:szCs w:val="23"/>
                <w:color w:val="auto"/>
              </w:rPr>
            </w:pPr>
          </w:p>
        </w:tc>
        <w:tc>
          <w:tcPr>
            <w:tcW w:w="1020" w:type="dxa"/>
            <w:vAlign w:val="bottom"/>
            <w:shd w:val="clear" w:color="auto" w:fill="C43776"/>
          </w:tcPr>
          <w:p>
            <w:pPr>
              <w:spacing w:after="0"/>
              <w:rPr>
                <w:sz w:val="23"/>
                <w:szCs w:val="23"/>
                <w:color w:val="auto"/>
              </w:rPr>
            </w:pPr>
          </w:p>
        </w:tc>
        <w:tc>
          <w:tcPr>
            <w:tcW w:w="1120" w:type="dxa"/>
            <w:vAlign w:val="bottom"/>
            <w:shd w:val="clear" w:color="auto" w:fill="C43776"/>
          </w:tcPr>
          <w:p>
            <w:pPr>
              <w:spacing w:after="0"/>
              <w:rPr>
                <w:sz w:val="23"/>
                <w:szCs w:val="23"/>
                <w:color w:val="auto"/>
              </w:rPr>
            </w:pPr>
          </w:p>
        </w:tc>
        <w:tc>
          <w:tcPr>
            <w:tcW w:w="1080" w:type="dxa"/>
            <w:vAlign w:val="bottom"/>
            <w:shd w:val="clear" w:color="auto" w:fill="C43776"/>
          </w:tcPr>
          <w:p>
            <w:pPr>
              <w:spacing w:after="0"/>
              <w:rPr>
                <w:sz w:val="23"/>
                <w:szCs w:val="23"/>
                <w:color w:val="auto"/>
              </w:rPr>
            </w:pPr>
          </w:p>
        </w:tc>
        <w:tc>
          <w:tcPr>
            <w:tcW w:w="2020" w:type="dxa"/>
            <w:vAlign w:val="bottom"/>
            <w:gridSpan w:val="2"/>
            <w:shd w:val="clear" w:color="auto" w:fill="C43776"/>
          </w:tcPr>
          <w:p>
            <w:pPr>
              <w:jc w:val="right"/>
              <w:ind w:right="53"/>
              <w:spacing w:after="0"/>
              <w:rPr>
                <w:sz w:val="20"/>
                <w:szCs w:val="20"/>
                <w:color w:val="auto"/>
              </w:rPr>
            </w:pPr>
            <w:r>
              <w:rPr>
                <w:rFonts w:ascii="Arial" w:cs="Arial" w:eastAsia="Arial" w:hAnsi="Arial"/>
                <w:sz w:val="13"/>
                <w:szCs w:val="13"/>
                <w:b w:val="1"/>
                <w:bCs w:val="1"/>
                <w:color w:val="FFFFFF"/>
                <w:w w:val="99"/>
              </w:rPr>
              <w:t>VALUE OF INITIAL FIXED $100</w:t>
            </w:r>
          </w:p>
        </w:tc>
        <w:tc>
          <w:tcPr>
            <w:tcW w:w="1080" w:type="dxa"/>
            <w:vAlign w:val="bottom"/>
            <w:shd w:val="clear" w:color="auto" w:fill="C43776"/>
          </w:tcPr>
          <w:p>
            <w:pPr>
              <w:spacing w:after="0"/>
              <w:rPr>
                <w:sz w:val="23"/>
                <w:szCs w:val="23"/>
                <w:color w:val="auto"/>
              </w:rPr>
            </w:pPr>
          </w:p>
        </w:tc>
        <w:tc>
          <w:tcPr>
            <w:tcW w:w="1060" w:type="dxa"/>
            <w:vAlign w:val="bottom"/>
            <w:shd w:val="clear" w:color="auto" w:fill="C43776"/>
          </w:tcPr>
          <w:p>
            <w:pPr>
              <w:spacing w:after="0"/>
              <w:rPr>
                <w:sz w:val="23"/>
                <w:szCs w:val="23"/>
                <w:color w:val="auto"/>
              </w:rPr>
            </w:pPr>
          </w:p>
        </w:tc>
      </w:tr>
      <w:tr>
        <w:trPr>
          <w:trHeight w:val="166"/>
        </w:trPr>
        <w:tc>
          <w:tcPr>
            <w:tcW w:w="580" w:type="dxa"/>
            <w:vAlign w:val="bottom"/>
            <w:shd w:val="clear" w:color="auto" w:fill="C43776"/>
          </w:tcPr>
          <w:p>
            <w:pPr>
              <w:spacing w:after="0"/>
              <w:rPr>
                <w:sz w:val="14"/>
                <w:szCs w:val="14"/>
                <w:color w:val="auto"/>
              </w:rPr>
            </w:pPr>
          </w:p>
        </w:tc>
        <w:tc>
          <w:tcPr>
            <w:tcW w:w="1060" w:type="dxa"/>
            <w:vAlign w:val="bottom"/>
            <w:shd w:val="clear" w:color="auto" w:fill="C43776"/>
          </w:tcPr>
          <w:p>
            <w:pPr>
              <w:spacing w:after="0"/>
              <w:rPr>
                <w:sz w:val="14"/>
                <w:szCs w:val="14"/>
                <w:color w:val="auto"/>
              </w:rPr>
            </w:pPr>
          </w:p>
        </w:tc>
        <w:tc>
          <w:tcPr>
            <w:tcW w:w="1020" w:type="dxa"/>
            <w:vAlign w:val="bottom"/>
            <w:shd w:val="clear" w:color="auto" w:fill="C43776"/>
          </w:tcPr>
          <w:p>
            <w:pPr>
              <w:spacing w:after="0"/>
              <w:rPr>
                <w:sz w:val="14"/>
                <w:szCs w:val="14"/>
                <w:color w:val="auto"/>
              </w:rPr>
            </w:pPr>
          </w:p>
        </w:tc>
        <w:tc>
          <w:tcPr>
            <w:tcW w:w="1120" w:type="dxa"/>
            <w:vAlign w:val="bottom"/>
            <w:shd w:val="clear" w:color="auto" w:fill="C43776"/>
          </w:tcPr>
          <w:p>
            <w:pPr>
              <w:spacing w:after="0"/>
              <w:rPr>
                <w:sz w:val="14"/>
                <w:szCs w:val="14"/>
                <w:color w:val="auto"/>
              </w:rPr>
            </w:pPr>
          </w:p>
        </w:tc>
        <w:tc>
          <w:tcPr>
            <w:tcW w:w="1080" w:type="dxa"/>
            <w:vAlign w:val="bottom"/>
            <w:shd w:val="clear" w:color="auto" w:fill="C43776"/>
          </w:tcPr>
          <w:p>
            <w:pPr>
              <w:spacing w:after="0"/>
              <w:rPr>
                <w:sz w:val="14"/>
                <w:szCs w:val="14"/>
                <w:color w:val="auto"/>
              </w:rPr>
            </w:pPr>
          </w:p>
        </w:tc>
        <w:tc>
          <w:tcPr>
            <w:tcW w:w="2020" w:type="dxa"/>
            <w:vAlign w:val="bottom"/>
            <w:gridSpan w:val="2"/>
            <w:shd w:val="clear" w:color="auto" w:fill="C43776"/>
          </w:tcPr>
          <w:p>
            <w:pPr>
              <w:jc w:val="right"/>
              <w:ind w:right="193"/>
              <w:spacing w:after="0"/>
              <w:rPr>
                <w:sz w:val="20"/>
                <w:szCs w:val="20"/>
                <w:color w:val="auto"/>
              </w:rPr>
            </w:pPr>
            <w:r>
              <w:rPr>
                <w:rFonts w:ascii="Arial" w:cs="Arial" w:eastAsia="Arial" w:hAnsi="Arial"/>
                <w:sz w:val="13"/>
                <w:szCs w:val="13"/>
                <w:b w:val="1"/>
                <w:bCs w:val="1"/>
                <w:color w:val="FFFFFF"/>
              </w:rPr>
              <w:t>INVESTMENT BASED ON:</w:t>
            </w:r>
          </w:p>
        </w:tc>
        <w:tc>
          <w:tcPr>
            <w:tcW w:w="1080" w:type="dxa"/>
            <w:vAlign w:val="bottom"/>
            <w:shd w:val="clear" w:color="auto" w:fill="C43776"/>
          </w:tcPr>
          <w:p>
            <w:pPr>
              <w:spacing w:after="0"/>
              <w:rPr>
                <w:sz w:val="14"/>
                <w:szCs w:val="14"/>
                <w:color w:val="auto"/>
              </w:rPr>
            </w:pPr>
          </w:p>
        </w:tc>
        <w:tc>
          <w:tcPr>
            <w:tcW w:w="1060" w:type="dxa"/>
            <w:vAlign w:val="bottom"/>
            <w:shd w:val="clear" w:color="auto" w:fill="C43776"/>
          </w:tcPr>
          <w:p>
            <w:pPr>
              <w:spacing w:after="0"/>
              <w:rPr>
                <w:sz w:val="14"/>
                <w:szCs w:val="14"/>
                <w:color w:val="auto"/>
              </w:rPr>
            </w:pPr>
          </w:p>
        </w:tc>
      </w:tr>
      <w:tr>
        <w:trPr>
          <w:trHeight w:val="239"/>
        </w:trPr>
        <w:tc>
          <w:tcPr>
            <w:tcW w:w="580" w:type="dxa"/>
            <w:vAlign w:val="bottom"/>
            <w:shd w:val="clear" w:color="auto" w:fill="C43776"/>
          </w:tcPr>
          <w:p>
            <w:pPr>
              <w:spacing w:after="0"/>
              <w:rPr>
                <w:sz w:val="20"/>
                <w:szCs w:val="20"/>
                <w:color w:val="auto"/>
              </w:rPr>
            </w:pPr>
          </w:p>
        </w:tc>
        <w:tc>
          <w:tcPr>
            <w:tcW w:w="1060" w:type="dxa"/>
            <w:vAlign w:val="bottom"/>
            <w:shd w:val="clear" w:color="auto" w:fill="C43776"/>
          </w:tcPr>
          <w:p>
            <w:pPr>
              <w:spacing w:after="0"/>
              <w:rPr>
                <w:sz w:val="20"/>
                <w:szCs w:val="20"/>
                <w:color w:val="auto"/>
              </w:rPr>
            </w:pPr>
          </w:p>
        </w:tc>
        <w:tc>
          <w:tcPr>
            <w:tcW w:w="1020" w:type="dxa"/>
            <w:vAlign w:val="bottom"/>
            <w:shd w:val="clear" w:color="auto" w:fill="C43776"/>
          </w:tcPr>
          <w:p>
            <w:pPr>
              <w:spacing w:after="0"/>
              <w:rPr>
                <w:sz w:val="20"/>
                <w:szCs w:val="20"/>
                <w:color w:val="auto"/>
              </w:rPr>
            </w:pPr>
          </w:p>
        </w:tc>
        <w:tc>
          <w:tcPr>
            <w:tcW w:w="11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Average</w:t>
            </w:r>
          </w:p>
        </w:tc>
        <w:tc>
          <w:tcPr>
            <w:tcW w:w="10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Average</w:t>
            </w:r>
          </w:p>
        </w:tc>
        <w:tc>
          <w:tcPr>
            <w:tcW w:w="940" w:type="dxa"/>
            <w:vAlign w:val="bottom"/>
            <w:shd w:val="clear" w:color="auto" w:fill="C43776"/>
          </w:tcPr>
          <w:p>
            <w:pPr>
              <w:spacing w:after="0"/>
              <w:rPr>
                <w:sz w:val="20"/>
                <w:szCs w:val="20"/>
                <w:color w:val="auto"/>
              </w:rPr>
            </w:pPr>
          </w:p>
        </w:tc>
        <w:tc>
          <w:tcPr>
            <w:tcW w:w="1080" w:type="dxa"/>
            <w:vAlign w:val="bottom"/>
            <w:shd w:val="clear" w:color="auto" w:fill="C43776"/>
          </w:tcPr>
          <w:p>
            <w:pPr>
              <w:spacing w:after="0"/>
              <w:rPr>
                <w:sz w:val="20"/>
                <w:szCs w:val="20"/>
                <w:color w:val="auto"/>
              </w:rPr>
            </w:pPr>
          </w:p>
        </w:tc>
        <w:tc>
          <w:tcPr>
            <w:tcW w:w="1080" w:type="dxa"/>
            <w:vAlign w:val="bottom"/>
            <w:shd w:val="clear" w:color="auto" w:fill="C43776"/>
          </w:tcPr>
          <w:p>
            <w:pPr>
              <w:spacing w:after="0"/>
              <w:rPr>
                <w:sz w:val="20"/>
                <w:szCs w:val="20"/>
                <w:color w:val="auto"/>
              </w:rPr>
            </w:pPr>
          </w:p>
        </w:tc>
        <w:tc>
          <w:tcPr>
            <w:tcW w:w="1060" w:type="dxa"/>
            <w:vAlign w:val="bottom"/>
            <w:shd w:val="clear" w:color="auto" w:fill="C43776"/>
          </w:tcPr>
          <w:p>
            <w:pPr>
              <w:jc w:val="right"/>
              <w:ind w:right="73"/>
              <w:spacing w:after="0"/>
              <w:rPr>
                <w:sz w:val="20"/>
                <w:szCs w:val="20"/>
                <w:color w:val="auto"/>
              </w:rPr>
            </w:pPr>
            <w:r>
              <w:rPr>
                <w:rFonts w:ascii="Arial" w:cs="Arial" w:eastAsia="Arial" w:hAnsi="Arial"/>
                <w:sz w:val="13"/>
                <w:szCs w:val="13"/>
                <w:b w:val="1"/>
                <w:bCs w:val="1"/>
                <w:color w:val="FFFFFF"/>
              </w:rPr>
              <w:t>Company-</w:t>
            </w:r>
          </w:p>
        </w:tc>
      </w:tr>
      <w:tr>
        <w:trPr>
          <w:trHeight w:val="148"/>
        </w:trPr>
        <w:tc>
          <w:tcPr>
            <w:tcW w:w="580" w:type="dxa"/>
            <w:vAlign w:val="bottom"/>
            <w:shd w:val="clear" w:color="auto" w:fill="C43776"/>
          </w:tcPr>
          <w:p>
            <w:pPr>
              <w:spacing w:after="0"/>
              <w:rPr>
                <w:sz w:val="12"/>
                <w:szCs w:val="12"/>
                <w:color w:val="auto"/>
              </w:rPr>
            </w:pPr>
          </w:p>
        </w:tc>
        <w:tc>
          <w:tcPr>
            <w:tcW w:w="10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Summary</w:t>
            </w:r>
          </w:p>
        </w:tc>
        <w:tc>
          <w:tcPr>
            <w:tcW w:w="1020" w:type="dxa"/>
            <w:vAlign w:val="bottom"/>
            <w:shd w:val="clear" w:color="auto" w:fill="C43776"/>
          </w:tcPr>
          <w:p>
            <w:pPr>
              <w:spacing w:after="0"/>
              <w:rPr>
                <w:sz w:val="12"/>
                <w:szCs w:val="12"/>
                <w:color w:val="auto"/>
              </w:rPr>
            </w:pPr>
          </w:p>
        </w:tc>
        <w:tc>
          <w:tcPr>
            <w:tcW w:w="11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Summary</w:t>
            </w:r>
          </w:p>
        </w:tc>
        <w:tc>
          <w:tcPr>
            <w:tcW w:w="10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Compensation</w:t>
            </w:r>
          </w:p>
        </w:tc>
        <w:tc>
          <w:tcPr>
            <w:tcW w:w="940" w:type="dxa"/>
            <w:vAlign w:val="bottom"/>
            <w:shd w:val="clear" w:color="auto" w:fill="C43776"/>
          </w:tcPr>
          <w:p>
            <w:pPr>
              <w:spacing w:after="0"/>
              <w:rPr>
                <w:sz w:val="12"/>
                <w:szCs w:val="12"/>
                <w:color w:val="auto"/>
              </w:rPr>
            </w:pPr>
          </w:p>
        </w:tc>
        <w:tc>
          <w:tcPr>
            <w:tcW w:w="1080" w:type="dxa"/>
            <w:vAlign w:val="bottom"/>
            <w:shd w:val="clear" w:color="auto" w:fill="C43776"/>
          </w:tcPr>
          <w:p>
            <w:pPr>
              <w:jc w:val="right"/>
              <w:ind w:right="113"/>
              <w:spacing w:after="0"/>
              <w:rPr>
                <w:sz w:val="20"/>
                <w:szCs w:val="20"/>
                <w:color w:val="auto"/>
              </w:rPr>
            </w:pPr>
            <w:r>
              <w:rPr>
                <w:rFonts w:ascii="Arial" w:cs="Arial" w:eastAsia="Arial" w:hAnsi="Arial"/>
                <w:sz w:val="13"/>
                <w:szCs w:val="13"/>
                <w:b w:val="1"/>
                <w:bCs w:val="1"/>
                <w:color w:val="FFFFFF"/>
              </w:rPr>
              <w:t>Peer Group</w:t>
            </w:r>
          </w:p>
        </w:tc>
        <w:tc>
          <w:tcPr>
            <w:tcW w:w="1080" w:type="dxa"/>
            <w:vAlign w:val="bottom"/>
            <w:shd w:val="clear" w:color="auto" w:fill="C43776"/>
          </w:tcPr>
          <w:p>
            <w:pPr>
              <w:spacing w:after="0"/>
              <w:rPr>
                <w:sz w:val="12"/>
                <w:szCs w:val="12"/>
                <w:color w:val="auto"/>
              </w:rPr>
            </w:pPr>
          </w:p>
        </w:tc>
        <w:tc>
          <w:tcPr>
            <w:tcW w:w="1060" w:type="dxa"/>
            <w:vAlign w:val="bottom"/>
            <w:shd w:val="clear" w:color="auto" w:fill="C43776"/>
          </w:tcPr>
          <w:p>
            <w:pPr>
              <w:jc w:val="right"/>
              <w:ind w:right="73"/>
              <w:spacing w:after="0"/>
              <w:rPr>
                <w:sz w:val="20"/>
                <w:szCs w:val="20"/>
                <w:color w:val="auto"/>
              </w:rPr>
            </w:pPr>
            <w:r>
              <w:rPr>
                <w:rFonts w:ascii="Arial" w:cs="Arial" w:eastAsia="Arial" w:hAnsi="Arial"/>
                <w:sz w:val="13"/>
                <w:szCs w:val="13"/>
                <w:b w:val="1"/>
                <w:bCs w:val="1"/>
                <w:color w:val="FFFFFF"/>
              </w:rPr>
              <w:t>Selected</w:t>
            </w:r>
          </w:p>
        </w:tc>
      </w:tr>
      <w:tr>
        <w:trPr>
          <w:trHeight w:val="148"/>
        </w:trPr>
        <w:tc>
          <w:tcPr>
            <w:tcW w:w="580" w:type="dxa"/>
            <w:vAlign w:val="bottom"/>
            <w:shd w:val="clear" w:color="auto" w:fill="C43776"/>
          </w:tcPr>
          <w:p>
            <w:pPr>
              <w:spacing w:after="0"/>
              <w:rPr>
                <w:sz w:val="12"/>
                <w:szCs w:val="12"/>
                <w:color w:val="auto"/>
              </w:rPr>
            </w:pPr>
          </w:p>
        </w:tc>
        <w:tc>
          <w:tcPr>
            <w:tcW w:w="10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Compensation</w:t>
            </w:r>
          </w:p>
        </w:tc>
        <w:tc>
          <w:tcPr>
            <w:tcW w:w="10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Compensation</w:t>
            </w:r>
          </w:p>
        </w:tc>
        <w:tc>
          <w:tcPr>
            <w:tcW w:w="11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Compensation</w:t>
            </w:r>
          </w:p>
        </w:tc>
        <w:tc>
          <w:tcPr>
            <w:tcW w:w="10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Actually Paid to</w:t>
            </w:r>
          </w:p>
        </w:tc>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Total</w:t>
            </w:r>
          </w:p>
        </w:tc>
        <w:tc>
          <w:tcPr>
            <w:tcW w:w="1080" w:type="dxa"/>
            <w:vAlign w:val="bottom"/>
            <w:shd w:val="clear" w:color="auto" w:fill="C43776"/>
          </w:tcPr>
          <w:p>
            <w:pPr>
              <w:jc w:val="right"/>
              <w:ind w:right="133"/>
              <w:spacing w:after="0"/>
              <w:rPr>
                <w:sz w:val="20"/>
                <w:szCs w:val="20"/>
                <w:color w:val="auto"/>
              </w:rPr>
            </w:pPr>
            <w:r>
              <w:rPr>
                <w:rFonts w:ascii="Arial" w:cs="Arial" w:eastAsia="Arial" w:hAnsi="Arial"/>
                <w:sz w:val="13"/>
                <w:szCs w:val="13"/>
                <w:b w:val="1"/>
                <w:bCs w:val="1"/>
                <w:color w:val="FFFFFF"/>
              </w:rPr>
              <w:t>Total</w:t>
            </w:r>
          </w:p>
        </w:tc>
        <w:tc>
          <w:tcPr>
            <w:tcW w:w="1080" w:type="dxa"/>
            <w:vAlign w:val="bottom"/>
            <w:shd w:val="clear" w:color="auto" w:fill="C43776"/>
          </w:tcPr>
          <w:p>
            <w:pPr>
              <w:spacing w:after="0"/>
              <w:rPr>
                <w:sz w:val="12"/>
                <w:szCs w:val="12"/>
                <w:color w:val="auto"/>
              </w:rPr>
            </w:pPr>
          </w:p>
        </w:tc>
        <w:tc>
          <w:tcPr>
            <w:tcW w:w="1060" w:type="dxa"/>
            <w:vAlign w:val="bottom"/>
            <w:shd w:val="clear" w:color="auto" w:fill="C43776"/>
          </w:tcPr>
          <w:p>
            <w:pPr>
              <w:jc w:val="right"/>
              <w:ind w:right="73"/>
              <w:spacing w:after="0"/>
              <w:rPr>
                <w:sz w:val="20"/>
                <w:szCs w:val="20"/>
                <w:color w:val="auto"/>
              </w:rPr>
            </w:pPr>
            <w:r>
              <w:rPr>
                <w:rFonts w:ascii="Arial" w:cs="Arial" w:eastAsia="Arial" w:hAnsi="Arial"/>
                <w:sz w:val="13"/>
                <w:szCs w:val="13"/>
                <w:b w:val="1"/>
                <w:bCs w:val="1"/>
                <w:color w:val="FFFFFF"/>
              </w:rPr>
              <w:t>Measure:</w:t>
            </w:r>
          </w:p>
        </w:tc>
      </w:tr>
      <w:tr>
        <w:trPr>
          <w:trHeight w:val="149"/>
        </w:trPr>
        <w:tc>
          <w:tcPr>
            <w:tcW w:w="580" w:type="dxa"/>
            <w:vAlign w:val="bottom"/>
            <w:shd w:val="clear" w:color="auto" w:fill="C43776"/>
          </w:tcPr>
          <w:p>
            <w:pPr>
              <w:spacing w:after="0"/>
              <w:rPr>
                <w:sz w:val="12"/>
                <w:szCs w:val="12"/>
                <w:color w:val="auto"/>
              </w:rPr>
            </w:pPr>
          </w:p>
        </w:tc>
        <w:tc>
          <w:tcPr>
            <w:tcW w:w="10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Table (“SCT”)</w:t>
            </w:r>
          </w:p>
        </w:tc>
        <w:tc>
          <w:tcPr>
            <w:tcW w:w="10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Actually Paid</w:t>
            </w:r>
          </w:p>
        </w:tc>
        <w:tc>
          <w:tcPr>
            <w:tcW w:w="11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Table Total for</w:t>
            </w:r>
          </w:p>
        </w:tc>
        <w:tc>
          <w:tcPr>
            <w:tcW w:w="10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Non-PEO</w:t>
            </w:r>
          </w:p>
        </w:tc>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Shareholder</w:t>
            </w:r>
          </w:p>
        </w:tc>
        <w:tc>
          <w:tcPr>
            <w:tcW w:w="1080" w:type="dxa"/>
            <w:vAlign w:val="bottom"/>
            <w:shd w:val="clear" w:color="auto" w:fill="C43776"/>
          </w:tcPr>
          <w:p>
            <w:pPr>
              <w:jc w:val="right"/>
              <w:ind w:right="113"/>
              <w:spacing w:after="0"/>
              <w:rPr>
                <w:sz w:val="20"/>
                <w:szCs w:val="20"/>
                <w:color w:val="auto"/>
              </w:rPr>
            </w:pPr>
            <w:r>
              <w:rPr>
                <w:rFonts w:ascii="Arial" w:cs="Arial" w:eastAsia="Arial" w:hAnsi="Arial"/>
                <w:sz w:val="13"/>
                <w:szCs w:val="13"/>
                <w:b w:val="1"/>
                <w:bCs w:val="1"/>
                <w:color w:val="FFFFFF"/>
              </w:rPr>
              <w:t>Shareholder</w:t>
            </w:r>
          </w:p>
        </w:tc>
        <w:tc>
          <w:tcPr>
            <w:tcW w:w="1080" w:type="dxa"/>
            <w:vAlign w:val="bottom"/>
            <w:shd w:val="clear" w:color="auto" w:fill="C43776"/>
          </w:tcPr>
          <w:p>
            <w:pPr>
              <w:spacing w:after="0"/>
              <w:rPr>
                <w:sz w:val="12"/>
                <w:szCs w:val="12"/>
                <w:color w:val="auto"/>
              </w:rPr>
            </w:pPr>
          </w:p>
        </w:tc>
        <w:tc>
          <w:tcPr>
            <w:tcW w:w="1060" w:type="dxa"/>
            <w:vAlign w:val="bottom"/>
            <w:shd w:val="clear" w:color="auto" w:fill="C43776"/>
          </w:tcPr>
          <w:p>
            <w:pPr>
              <w:jc w:val="right"/>
              <w:ind w:right="73"/>
              <w:spacing w:after="0"/>
              <w:rPr>
                <w:sz w:val="20"/>
                <w:szCs w:val="20"/>
                <w:color w:val="auto"/>
              </w:rPr>
            </w:pPr>
            <w:r>
              <w:rPr>
                <w:rFonts w:ascii="Arial" w:cs="Arial" w:eastAsia="Arial" w:hAnsi="Arial"/>
                <w:sz w:val="13"/>
                <w:szCs w:val="13"/>
                <w:b w:val="1"/>
                <w:bCs w:val="1"/>
                <w:color w:val="FFFFFF"/>
              </w:rPr>
              <w:t>Adjusted</w:t>
            </w:r>
          </w:p>
        </w:tc>
      </w:tr>
      <w:tr>
        <w:trPr>
          <w:trHeight w:val="162"/>
        </w:trPr>
        <w:tc>
          <w:tcPr>
            <w:tcW w:w="580" w:type="dxa"/>
            <w:vAlign w:val="bottom"/>
            <w:shd w:val="clear" w:color="auto" w:fill="C43776"/>
          </w:tcPr>
          <w:p>
            <w:pPr>
              <w:spacing w:after="0"/>
              <w:rPr>
                <w:sz w:val="14"/>
                <w:szCs w:val="14"/>
                <w:color w:val="auto"/>
              </w:rPr>
            </w:pPr>
          </w:p>
        </w:tc>
        <w:tc>
          <w:tcPr>
            <w:tcW w:w="10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Total for PEO</w:t>
            </w:r>
          </w:p>
        </w:tc>
        <w:tc>
          <w:tcPr>
            <w:tcW w:w="1020" w:type="dxa"/>
            <w:vAlign w:val="bottom"/>
            <w:shd w:val="clear" w:color="auto" w:fill="C43776"/>
          </w:tcPr>
          <w:p>
            <w:pPr>
              <w:jc w:val="right"/>
              <w:spacing w:after="0" w:line="162" w:lineRule="exact"/>
              <w:rPr>
                <w:sz w:val="20"/>
                <w:szCs w:val="20"/>
                <w:color w:val="auto"/>
              </w:rPr>
            </w:pPr>
            <w:r>
              <w:rPr>
                <w:rFonts w:ascii="Arial" w:cs="Arial" w:eastAsia="Arial" w:hAnsi="Arial"/>
                <w:sz w:val="13"/>
                <w:szCs w:val="13"/>
                <w:b w:val="1"/>
                <w:bCs w:val="1"/>
                <w:color w:val="FFFFFF"/>
              </w:rPr>
              <w:t>to PEO</w:t>
            </w:r>
            <w:r>
              <w:rPr>
                <w:rFonts w:ascii="Arial" w:cs="Arial" w:eastAsia="Arial" w:hAnsi="Arial"/>
                <w:sz w:val="16"/>
                <w:szCs w:val="16"/>
                <w:b w:val="1"/>
                <w:bCs w:val="1"/>
                <w:color w:val="FFFFFF"/>
                <w:vertAlign w:val="superscript"/>
              </w:rPr>
              <w:t>(2)</w:t>
            </w:r>
          </w:p>
        </w:tc>
        <w:tc>
          <w:tcPr>
            <w:tcW w:w="11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Non-PEO NEOs</w:t>
            </w:r>
          </w:p>
        </w:tc>
        <w:tc>
          <w:tcPr>
            <w:tcW w:w="1080" w:type="dxa"/>
            <w:vAlign w:val="bottom"/>
            <w:shd w:val="clear" w:color="auto" w:fill="C43776"/>
          </w:tcPr>
          <w:p>
            <w:pPr>
              <w:jc w:val="right"/>
              <w:spacing w:after="0" w:line="162"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16"/>
                <w:szCs w:val="16"/>
                <w:b w:val="1"/>
                <w:bCs w:val="1"/>
                <w:color w:val="FFFFFF"/>
                <w:vertAlign w:val="superscript"/>
              </w:rPr>
              <w:t>(2)</w:t>
            </w:r>
          </w:p>
        </w:tc>
        <w:tc>
          <w:tcPr>
            <w:tcW w:w="940" w:type="dxa"/>
            <w:vAlign w:val="bottom"/>
            <w:shd w:val="clear" w:color="auto" w:fill="C43776"/>
          </w:tcPr>
          <w:p>
            <w:pPr>
              <w:jc w:val="right"/>
              <w:spacing w:after="0" w:line="162" w:lineRule="exact"/>
              <w:rPr>
                <w:sz w:val="20"/>
                <w:szCs w:val="20"/>
                <w:color w:val="auto"/>
              </w:rPr>
            </w:pPr>
            <w:r>
              <w:rPr>
                <w:rFonts w:ascii="Arial" w:cs="Arial" w:eastAsia="Arial" w:hAnsi="Arial"/>
                <w:sz w:val="13"/>
                <w:szCs w:val="13"/>
                <w:b w:val="1"/>
                <w:bCs w:val="1"/>
                <w:color w:val="FFFFFF"/>
              </w:rPr>
              <w:t>Return</w:t>
            </w:r>
            <w:r>
              <w:rPr>
                <w:rFonts w:ascii="Arial" w:cs="Arial" w:eastAsia="Arial" w:hAnsi="Arial"/>
                <w:sz w:val="16"/>
                <w:szCs w:val="16"/>
                <w:b w:val="1"/>
                <w:bCs w:val="1"/>
                <w:color w:val="FFFFFF"/>
                <w:vertAlign w:val="superscript"/>
              </w:rPr>
              <w:t>(3)</w:t>
            </w:r>
          </w:p>
        </w:tc>
        <w:tc>
          <w:tcPr>
            <w:tcW w:w="1080" w:type="dxa"/>
            <w:vAlign w:val="bottom"/>
            <w:shd w:val="clear" w:color="auto" w:fill="C43776"/>
          </w:tcPr>
          <w:p>
            <w:pPr>
              <w:jc w:val="right"/>
              <w:ind w:right="113"/>
              <w:spacing w:after="0" w:line="162" w:lineRule="exact"/>
              <w:rPr>
                <w:sz w:val="20"/>
                <w:szCs w:val="20"/>
                <w:color w:val="auto"/>
              </w:rPr>
            </w:pPr>
            <w:r>
              <w:rPr>
                <w:rFonts w:ascii="Arial" w:cs="Arial" w:eastAsia="Arial" w:hAnsi="Arial"/>
                <w:sz w:val="13"/>
                <w:szCs w:val="13"/>
                <w:b w:val="1"/>
                <w:bCs w:val="1"/>
                <w:color w:val="FFFFFF"/>
              </w:rPr>
              <w:t>Return</w:t>
            </w:r>
            <w:r>
              <w:rPr>
                <w:rFonts w:ascii="Arial" w:cs="Arial" w:eastAsia="Arial" w:hAnsi="Arial"/>
                <w:sz w:val="16"/>
                <w:szCs w:val="16"/>
                <w:b w:val="1"/>
                <w:bCs w:val="1"/>
                <w:color w:val="FFFFFF"/>
                <w:vertAlign w:val="superscript"/>
              </w:rPr>
              <w:t>(4)</w:t>
            </w:r>
          </w:p>
        </w:tc>
        <w:tc>
          <w:tcPr>
            <w:tcW w:w="1080" w:type="dxa"/>
            <w:vAlign w:val="bottom"/>
            <w:shd w:val="clear" w:color="auto" w:fill="C43776"/>
          </w:tcPr>
          <w:p>
            <w:pPr>
              <w:jc w:val="right"/>
              <w:ind w:right="91"/>
              <w:spacing w:after="0" w:line="162" w:lineRule="exact"/>
              <w:rPr>
                <w:sz w:val="20"/>
                <w:szCs w:val="20"/>
                <w:color w:val="auto"/>
              </w:rPr>
            </w:pPr>
            <w:r>
              <w:rPr>
                <w:rFonts w:ascii="Arial" w:cs="Arial" w:eastAsia="Arial" w:hAnsi="Arial"/>
                <w:sz w:val="13"/>
                <w:szCs w:val="13"/>
                <w:b w:val="1"/>
                <w:bCs w:val="1"/>
                <w:color w:val="FFFFFF"/>
              </w:rPr>
              <w:t>Net Income</w:t>
            </w:r>
            <w:r>
              <w:rPr>
                <w:rFonts w:ascii="Arial" w:cs="Arial" w:eastAsia="Arial" w:hAnsi="Arial"/>
                <w:sz w:val="16"/>
                <w:szCs w:val="16"/>
                <w:b w:val="1"/>
                <w:bCs w:val="1"/>
                <w:color w:val="FFFFFF"/>
                <w:vertAlign w:val="superscript"/>
              </w:rPr>
              <w:t>(5)</w:t>
            </w:r>
          </w:p>
        </w:tc>
        <w:tc>
          <w:tcPr>
            <w:tcW w:w="1060" w:type="dxa"/>
            <w:vAlign w:val="bottom"/>
            <w:shd w:val="clear" w:color="auto" w:fill="C43776"/>
          </w:tcPr>
          <w:p>
            <w:pPr>
              <w:jc w:val="right"/>
              <w:ind w:right="73"/>
              <w:spacing w:after="0" w:line="162" w:lineRule="exact"/>
              <w:rPr>
                <w:sz w:val="20"/>
                <w:szCs w:val="20"/>
                <w:color w:val="auto"/>
              </w:rPr>
            </w:pPr>
            <w:r>
              <w:rPr>
                <w:rFonts w:ascii="Arial" w:cs="Arial" w:eastAsia="Arial" w:hAnsi="Arial"/>
                <w:sz w:val="13"/>
                <w:szCs w:val="13"/>
                <w:b w:val="1"/>
                <w:bCs w:val="1"/>
                <w:color w:val="FFFFFF"/>
              </w:rPr>
              <w:t>EPS-COMP</w:t>
            </w:r>
            <w:r>
              <w:rPr>
                <w:rFonts w:ascii="Arial" w:cs="Arial" w:eastAsia="Arial" w:hAnsi="Arial"/>
                <w:sz w:val="16"/>
                <w:szCs w:val="16"/>
                <w:b w:val="1"/>
                <w:bCs w:val="1"/>
                <w:color w:val="FFFFFF"/>
                <w:vertAlign w:val="superscript"/>
              </w:rPr>
              <w:t>(6)</w:t>
            </w:r>
          </w:p>
        </w:tc>
      </w:tr>
      <w:tr>
        <w:trPr>
          <w:trHeight w:val="166"/>
        </w:trPr>
        <w:tc>
          <w:tcPr>
            <w:tcW w:w="580" w:type="dxa"/>
            <w:vAlign w:val="bottom"/>
            <w:shd w:val="clear" w:color="auto" w:fill="C43776"/>
          </w:tcPr>
          <w:p>
            <w:pPr>
              <w:jc w:val="center"/>
              <w:ind w:left="11"/>
              <w:spacing w:after="0"/>
              <w:rPr>
                <w:sz w:val="20"/>
                <w:szCs w:val="20"/>
                <w:color w:val="auto"/>
              </w:rPr>
            </w:pPr>
            <w:r>
              <w:rPr>
                <w:rFonts w:ascii="Arial" w:cs="Arial" w:eastAsia="Arial" w:hAnsi="Arial"/>
                <w:sz w:val="13"/>
                <w:szCs w:val="13"/>
                <w:b w:val="1"/>
                <w:bCs w:val="1"/>
                <w:color w:val="FFFFFF"/>
                <w:w w:val="92"/>
              </w:rPr>
              <w:t>Year</w:t>
            </w:r>
          </w:p>
        </w:tc>
        <w:tc>
          <w:tcPr>
            <w:tcW w:w="10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C43776"/>
          </w:tcPr>
          <w:p>
            <w:pPr>
              <w:jc w:val="right"/>
              <w:ind w:right="113"/>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C43776"/>
          </w:tcPr>
          <w:p>
            <w:pPr>
              <w:jc w:val="right"/>
              <w:ind w:right="91"/>
              <w:spacing w:after="0"/>
              <w:rPr>
                <w:sz w:val="20"/>
                <w:szCs w:val="20"/>
                <w:color w:val="auto"/>
              </w:rPr>
            </w:pPr>
            <w:r>
              <w:rPr>
                <w:rFonts w:ascii="Arial" w:cs="Arial" w:eastAsia="Arial" w:hAnsi="Arial"/>
                <w:sz w:val="13"/>
                <w:szCs w:val="13"/>
                <w:b w:val="1"/>
                <w:bCs w:val="1"/>
                <w:color w:val="FFFFFF"/>
              </w:rPr>
              <w:t>($ in millions)</w:t>
            </w:r>
          </w:p>
        </w:tc>
        <w:tc>
          <w:tcPr>
            <w:tcW w:w="1060" w:type="dxa"/>
            <w:vAlign w:val="bottom"/>
            <w:shd w:val="clear" w:color="auto" w:fill="C43776"/>
          </w:tcPr>
          <w:p>
            <w:pPr>
              <w:jc w:val="right"/>
              <w:ind w:right="73"/>
              <w:spacing w:after="0"/>
              <w:rPr>
                <w:sz w:val="20"/>
                <w:szCs w:val="20"/>
                <w:color w:val="auto"/>
              </w:rPr>
            </w:pPr>
            <w:r>
              <w:rPr>
                <w:rFonts w:ascii="Arial" w:cs="Arial" w:eastAsia="Arial" w:hAnsi="Arial"/>
                <w:sz w:val="13"/>
                <w:szCs w:val="13"/>
                <w:b w:val="1"/>
                <w:bCs w:val="1"/>
                <w:color w:val="FFFFFF"/>
              </w:rPr>
              <w:t>($)</w:t>
            </w:r>
          </w:p>
        </w:tc>
      </w:tr>
      <w:tr>
        <w:trPr>
          <w:trHeight w:val="262"/>
        </w:trPr>
        <w:tc>
          <w:tcPr>
            <w:tcW w:w="580" w:type="dxa"/>
            <w:vAlign w:val="bottom"/>
            <w:shd w:val="clear" w:color="auto" w:fill="C43776"/>
          </w:tcPr>
          <w:p>
            <w:pPr>
              <w:jc w:val="center"/>
              <w:ind w:left="31"/>
              <w:spacing w:after="0"/>
              <w:rPr>
                <w:sz w:val="20"/>
                <w:szCs w:val="20"/>
                <w:color w:val="auto"/>
              </w:rPr>
            </w:pPr>
            <w:r>
              <w:rPr>
                <w:rFonts w:ascii="Arial" w:cs="Arial" w:eastAsia="Arial" w:hAnsi="Arial"/>
                <w:sz w:val="13"/>
                <w:szCs w:val="13"/>
                <w:b w:val="1"/>
                <w:bCs w:val="1"/>
                <w:color w:val="FFFFFF"/>
              </w:rPr>
              <w:t>(a)</w:t>
            </w:r>
          </w:p>
        </w:tc>
        <w:tc>
          <w:tcPr>
            <w:tcW w:w="106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(b)</w:t>
            </w:r>
          </w:p>
        </w:tc>
        <w:tc>
          <w:tcPr>
            <w:tcW w:w="10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(c)</w:t>
            </w:r>
          </w:p>
        </w:tc>
        <w:tc>
          <w:tcPr>
            <w:tcW w:w="112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(d)</w:t>
            </w:r>
          </w:p>
        </w:tc>
        <w:tc>
          <w:tcPr>
            <w:tcW w:w="108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(e)</w:t>
            </w:r>
          </w:p>
        </w:tc>
        <w:tc>
          <w:tcPr>
            <w:tcW w:w="940" w:type="dxa"/>
            <w:vAlign w:val="bottom"/>
            <w:shd w:val="clear" w:color="auto" w:fill="C43776"/>
          </w:tcPr>
          <w:p>
            <w:pPr>
              <w:jc w:val="right"/>
              <w:spacing w:after="0"/>
              <w:rPr>
                <w:sz w:val="20"/>
                <w:szCs w:val="20"/>
                <w:color w:val="auto"/>
              </w:rPr>
            </w:pPr>
            <w:r>
              <w:rPr>
                <w:rFonts w:ascii="Arial" w:cs="Arial" w:eastAsia="Arial" w:hAnsi="Arial"/>
                <w:sz w:val="13"/>
                <w:szCs w:val="13"/>
                <w:b w:val="1"/>
                <w:bCs w:val="1"/>
                <w:color w:val="FFFFFF"/>
              </w:rPr>
              <w:t>(f)</w:t>
            </w:r>
          </w:p>
        </w:tc>
        <w:tc>
          <w:tcPr>
            <w:tcW w:w="1080" w:type="dxa"/>
            <w:vAlign w:val="bottom"/>
            <w:shd w:val="clear" w:color="auto" w:fill="C43776"/>
          </w:tcPr>
          <w:p>
            <w:pPr>
              <w:jc w:val="right"/>
              <w:ind w:right="113"/>
              <w:spacing w:after="0"/>
              <w:rPr>
                <w:sz w:val="20"/>
                <w:szCs w:val="20"/>
                <w:color w:val="auto"/>
              </w:rPr>
            </w:pPr>
            <w:r>
              <w:rPr>
                <w:rFonts w:ascii="Arial" w:cs="Arial" w:eastAsia="Arial" w:hAnsi="Arial"/>
                <w:sz w:val="13"/>
                <w:szCs w:val="13"/>
                <w:b w:val="1"/>
                <w:bCs w:val="1"/>
                <w:color w:val="FFFFFF"/>
              </w:rPr>
              <w:t>(g)</w:t>
            </w:r>
          </w:p>
        </w:tc>
        <w:tc>
          <w:tcPr>
            <w:tcW w:w="1080" w:type="dxa"/>
            <w:vAlign w:val="bottom"/>
            <w:shd w:val="clear" w:color="auto" w:fill="C43776"/>
          </w:tcPr>
          <w:p>
            <w:pPr>
              <w:jc w:val="right"/>
              <w:ind w:right="91"/>
              <w:spacing w:after="0"/>
              <w:rPr>
                <w:sz w:val="20"/>
                <w:szCs w:val="20"/>
                <w:color w:val="auto"/>
              </w:rPr>
            </w:pPr>
            <w:r>
              <w:rPr>
                <w:rFonts w:ascii="Arial" w:cs="Arial" w:eastAsia="Arial" w:hAnsi="Arial"/>
                <w:sz w:val="13"/>
                <w:szCs w:val="13"/>
                <w:b w:val="1"/>
                <w:bCs w:val="1"/>
                <w:color w:val="FFFFFF"/>
              </w:rPr>
              <w:t>(h)</w:t>
            </w:r>
          </w:p>
        </w:tc>
        <w:tc>
          <w:tcPr>
            <w:tcW w:w="1060" w:type="dxa"/>
            <w:vAlign w:val="bottom"/>
            <w:shd w:val="clear" w:color="auto" w:fill="C43776"/>
          </w:tcPr>
          <w:p>
            <w:pPr>
              <w:jc w:val="right"/>
              <w:ind w:right="73"/>
              <w:spacing w:after="0"/>
              <w:rPr>
                <w:sz w:val="20"/>
                <w:szCs w:val="20"/>
                <w:color w:val="auto"/>
              </w:rPr>
            </w:pPr>
            <w:r>
              <w:rPr>
                <w:rFonts w:ascii="Arial" w:cs="Arial" w:eastAsia="Arial" w:hAnsi="Arial"/>
                <w:sz w:val="13"/>
                <w:szCs w:val="13"/>
                <w:b w:val="1"/>
                <w:bCs w:val="1"/>
                <w:color w:val="FFFFFF"/>
              </w:rPr>
              <w:t>(i)</w:t>
            </w:r>
          </w:p>
        </w:tc>
      </w:tr>
      <w:tr>
        <w:trPr>
          <w:trHeight w:val="103"/>
        </w:trPr>
        <w:tc>
          <w:tcPr>
            <w:tcW w:w="580" w:type="dxa"/>
            <w:vAlign w:val="bottom"/>
            <w:shd w:val="clear" w:color="auto" w:fill="C43776"/>
          </w:tcPr>
          <w:p>
            <w:pPr>
              <w:spacing w:after="0"/>
              <w:rPr>
                <w:sz w:val="8"/>
                <w:szCs w:val="8"/>
                <w:color w:val="auto"/>
              </w:rPr>
            </w:pPr>
          </w:p>
        </w:tc>
        <w:tc>
          <w:tcPr>
            <w:tcW w:w="1060" w:type="dxa"/>
            <w:vAlign w:val="bottom"/>
            <w:shd w:val="clear" w:color="auto" w:fill="C43776"/>
          </w:tcPr>
          <w:p>
            <w:pPr>
              <w:spacing w:after="0"/>
              <w:rPr>
                <w:sz w:val="8"/>
                <w:szCs w:val="8"/>
                <w:color w:val="auto"/>
              </w:rPr>
            </w:pPr>
          </w:p>
        </w:tc>
        <w:tc>
          <w:tcPr>
            <w:tcW w:w="1020" w:type="dxa"/>
            <w:vAlign w:val="bottom"/>
            <w:shd w:val="clear" w:color="auto" w:fill="C43776"/>
          </w:tcPr>
          <w:p>
            <w:pPr>
              <w:spacing w:after="0"/>
              <w:rPr>
                <w:sz w:val="8"/>
                <w:szCs w:val="8"/>
                <w:color w:val="auto"/>
              </w:rPr>
            </w:pPr>
          </w:p>
        </w:tc>
        <w:tc>
          <w:tcPr>
            <w:tcW w:w="1120" w:type="dxa"/>
            <w:vAlign w:val="bottom"/>
            <w:shd w:val="clear" w:color="auto" w:fill="C43776"/>
          </w:tcPr>
          <w:p>
            <w:pPr>
              <w:spacing w:after="0"/>
              <w:rPr>
                <w:sz w:val="8"/>
                <w:szCs w:val="8"/>
                <w:color w:val="auto"/>
              </w:rPr>
            </w:pPr>
          </w:p>
        </w:tc>
        <w:tc>
          <w:tcPr>
            <w:tcW w:w="1080" w:type="dxa"/>
            <w:vAlign w:val="bottom"/>
            <w:shd w:val="clear" w:color="auto" w:fill="C43776"/>
          </w:tcPr>
          <w:p>
            <w:pPr>
              <w:spacing w:after="0"/>
              <w:rPr>
                <w:sz w:val="8"/>
                <w:szCs w:val="8"/>
                <w:color w:val="auto"/>
              </w:rPr>
            </w:pPr>
          </w:p>
        </w:tc>
        <w:tc>
          <w:tcPr>
            <w:tcW w:w="940" w:type="dxa"/>
            <w:vAlign w:val="bottom"/>
            <w:shd w:val="clear" w:color="auto" w:fill="C43776"/>
          </w:tcPr>
          <w:p>
            <w:pPr>
              <w:spacing w:after="0"/>
              <w:rPr>
                <w:sz w:val="8"/>
                <w:szCs w:val="8"/>
                <w:color w:val="auto"/>
              </w:rPr>
            </w:pPr>
          </w:p>
        </w:tc>
        <w:tc>
          <w:tcPr>
            <w:tcW w:w="1080" w:type="dxa"/>
            <w:vAlign w:val="bottom"/>
            <w:shd w:val="clear" w:color="auto" w:fill="C43776"/>
          </w:tcPr>
          <w:p>
            <w:pPr>
              <w:spacing w:after="0"/>
              <w:rPr>
                <w:sz w:val="8"/>
                <w:szCs w:val="8"/>
                <w:color w:val="auto"/>
              </w:rPr>
            </w:pPr>
          </w:p>
        </w:tc>
        <w:tc>
          <w:tcPr>
            <w:tcW w:w="1080" w:type="dxa"/>
            <w:vAlign w:val="bottom"/>
            <w:shd w:val="clear" w:color="auto" w:fill="C43776"/>
          </w:tcPr>
          <w:p>
            <w:pPr>
              <w:spacing w:after="0"/>
              <w:rPr>
                <w:sz w:val="8"/>
                <w:szCs w:val="8"/>
                <w:color w:val="auto"/>
              </w:rPr>
            </w:pPr>
          </w:p>
        </w:tc>
        <w:tc>
          <w:tcPr>
            <w:tcW w:w="1060" w:type="dxa"/>
            <w:vAlign w:val="bottom"/>
            <w:shd w:val="clear" w:color="auto" w:fill="C43776"/>
          </w:tcPr>
          <w:p>
            <w:pPr>
              <w:spacing w:after="0"/>
              <w:rPr>
                <w:sz w:val="8"/>
                <w:szCs w:val="8"/>
                <w:color w:val="auto"/>
              </w:rPr>
            </w:pPr>
          </w:p>
        </w:tc>
      </w:tr>
      <w:tr>
        <w:trPr>
          <w:trHeight w:val="275"/>
        </w:trPr>
        <w:tc>
          <w:tcPr>
            <w:tcW w:w="580" w:type="dxa"/>
            <w:vAlign w:val="bottom"/>
          </w:tcPr>
          <w:p>
            <w:pPr>
              <w:jc w:val="center"/>
              <w:ind w:left="31"/>
              <w:spacing w:after="0"/>
              <w:rPr>
                <w:sz w:val="20"/>
                <w:szCs w:val="20"/>
                <w:color w:val="auto"/>
              </w:rPr>
            </w:pPr>
            <w:r>
              <w:rPr>
                <w:rFonts w:ascii="Arial" w:cs="Arial" w:eastAsia="Arial" w:hAnsi="Arial"/>
                <w:sz w:val="14"/>
                <w:szCs w:val="14"/>
                <w:color w:val="auto"/>
              </w:rPr>
              <w:t>2025</w:t>
            </w:r>
          </w:p>
        </w:tc>
        <w:tc>
          <w:tcPr>
            <w:tcW w:w="1060" w:type="dxa"/>
            <w:vAlign w:val="bottom"/>
          </w:tcPr>
          <w:p>
            <w:pPr>
              <w:jc w:val="right"/>
              <w:spacing w:after="0"/>
              <w:rPr>
                <w:sz w:val="20"/>
                <w:szCs w:val="20"/>
                <w:color w:val="auto"/>
              </w:rPr>
            </w:pPr>
            <w:r>
              <w:rPr>
                <w:rFonts w:ascii="Arial" w:cs="Arial" w:eastAsia="Arial" w:hAnsi="Arial"/>
                <w:sz w:val="14"/>
                <w:szCs w:val="14"/>
                <w:color w:val="auto"/>
              </w:rPr>
              <w:t>3,406,867</w:t>
            </w:r>
          </w:p>
        </w:tc>
        <w:tc>
          <w:tcPr>
            <w:tcW w:w="1020" w:type="dxa"/>
            <w:vAlign w:val="bottom"/>
          </w:tcPr>
          <w:p>
            <w:pPr>
              <w:jc w:val="right"/>
              <w:spacing w:after="0"/>
              <w:rPr>
                <w:sz w:val="20"/>
                <w:szCs w:val="20"/>
                <w:color w:val="auto"/>
              </w:rPr>
            </w:pPr>
            <w:r>
              <w:rPr>
                <w:rFonts w:ascii="Arial" w:cs="Arial" w:eastAsia="Arial" w:hAnsi="Arial"/>
                <w:sz w:val="14"/>
                <w:szCs w:val="14"/>
                <w:color w:val="auto"/>
              </w:rPr>
              <w:t>2,722,552</w:t>
            </w:r>
          </w:p>
        </w:tc>
        <w:tc>
          <w:tcPr>
            <w:tcW w:w="1120" w:type="dxa"/>
            <w:vAlign w:val="bottom"/>
          </w:tcPr>
          <w:p>
            <w:pPr>
              <w:jc w:val="right"/>
              <w:spacing w:after="0"/>
              <w:rPr>
                <w:sz w:val="20"/>
                <w:szCs w:val="20"/>
                <w:color w:val="auto"/>
              </w:rPr>
            </w:pPr>
            <w:r>
              <w:rPr>
                <w:rFonts w:ascii="Arial" w:cs="Arial" w:eastAsia="Arial" w:hAnsi="Arial"/>
                <w:sz w:val="14"/>
                <w:szCs w:val="14"/>
                <w:color w:val="auto"/>
              </w:rPr>
              <w:t>5,022,245</w:t>
            </w:r>
          </w:p>
        </w:tc>
        <w:tc>
          <w:tcPr>
            <w:tcW w:w="1080" w:type="dxa"/>
            <w:vAlign w:val="bottom"/>
          </w:tcPr>
          <w:p>
            <w:pPr>
              <w:jc w:val="right"/>
              <w:spacing w:after="0"/>
              <w:rPr>
                <w:sz w:val="20"/>
                <w:szCs w:val="20"/>
                <w:color w:val="auto"/>
              </w:rPr>
            </w:pPr>
            <w:r>
              <w:rPr>
                <w:rFonts w:ascii="Arial" w:cs="Arial" w:eastAsia="Arial" w:hAnsi="Arial"/>
                <w:sz w:val="14"/>
                <w:szCs w:val="14"/>
                <w:color w:val="auto"/>
              </w:rPr>
              <w:t>3,477,820</w:t>
            </w:r>
          </w:p>
        </w:tc>
        <w:tc>
          <w:tcPr>
            <w:tcW w:w="940" w:type="dxa"/>
            <w:vAlign w:val="bottom"/>
          </w:tcPr>
          <w:p>
            <w:pPr>
              <w:jc w:val="right"/>
              <w:spacing w:after="0"/>
              <w:rPr>
                <w:sz w:val="20"/>
                <w:szCs w:val="20"/>
                <w:color w:val="auto"/>
              </w:rPr>
            </w:pPr>
            <w:r>
              <w:rPr>
                <w:rFonts w:ascii="Arial" w:cs="Arial" w:eastAsia="Arial" w:hAnsi="Arial"/>
                <w:sz w:val="14"/>
                <w:szCs w:val="14"/>
                <w:color w:val="auto"/>
              </w:rPr>
              <w:t>110.30</w:t>
            </w:r>
          </w:p>
        </w:tc>
        <w:tc>
          <w:tcPr>
            <w:tcW w:w="1080" w:type="dxa"/>
            <w:vAlign w:val="bottom"/>
          </w:tcPr>
          <w:p>
            <w:pPr>
              <w:jc w:val="right"/>
              <w:ind w:right="113"/>
              <w:spacing w:after="0"/>
              <w:rPr>
                <w:sz w:val="20"/>
                <w:szCs w:val="20"/>
                <w:color w:val="auto"/>
              </w:rPr>
            </w:pPr>
            <w:r>
              <w:rPr>
                <w:rFonts w:ascii="Arial" w:cs="Arial" w:eastAsia="Arial" w:hAnsi="Arial"/>
                <w:sz w:val="14"/>
                <w:szCs w:val="14"/>
                <w:color w:val="auto"/>
              </w:rPr>
              <w:t>132.06</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1,070</w:t>
            </w: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21.06</w:t>
            </w:r>
          </w:p>
        </w:tc>
      </w:tr>
      <w:tr>
        <w:trPr>
          <w:trHeight w:val="49"/>
        </w:trPr>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304"/>
        </w:trPr>
        <w:tc>
          <w:tcPr>
            <w:tcW w:w="580" w:type="dxa"/>
            <w:vAlign w:val="bottom"/>
            <w:tcBorders>
              <w:bottom w:val="single" w:sz="8" w:color="F1F2F2"/>
            </w:tcBorders>
            <w:shd w:val="clear" w:color="auto" w:fill="F1F2F2"/>
          </w:tcPr>
          <w:p>
            <w:pPr>
              <w:jc w:val="center"/>
              <w:ind w:left="31"/>
              <w:spacing w:after="0"/>
              <w:rPr>
                <w:sz w:val="20"/>
                <w:szCs w:val="20"/>
                <w:color w:val="auto"/>
              </w:rPr>
            </w:pPr>
            <w:r>
              <w:rPr>
                <w:rFonts w:ascii="Arial" w:cs="Arial" w:eastAsia="Arial" w:hAnsi="Arial"/>
                <w:sz w:val="14"/>
                <w:szCs w:val="14"/>
                <w:color w:val="auto"/>
              </w:rPr>
              <w:t>2024</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28,050,998</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48,357,542</w:t>
            </w:r>
          </w:p>
        </w:tc>
        <w:tc>
          <w:tcPr>
            <w:tcW w:w="11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4,025,133</w:t>
            </w:r>
          </w:p>
        </w:tc>
        <w:tc>
          <w:tcPr>
            <w:tcW w:w="10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5,546,679</w:t>
            </w:r>
          </w:p>
        </w:tc>
        <w:tc>
          <w:tcPr>
            <w:tcW w:w="9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124.04</w:t>
            </w:r>
          </w:p>
        </w:tc>
        <w:tc>
          <w:tcPr>
            <w:tcW w:w="1080" w:type="dxa"/>
            <w:vAlign w:val="bottom"/>
            <w:tcBorders>
              <w:bottom w:val="single" w:sz="8" w:color="F1F2F2"/>
            </w:tcBorders>
            <w:shd w:val="clear" w:color="auto" w:fill="F1F2F2"/>
          </w:tcPr>
          <w:p>
            <w:pPr>
              <w:jc w:val="right"/>
              <w:ind w:right="113"/>
              <w:spacing w:after="0"/>
              <w:rPr>
                <w:sz w:val="20"/>
                <w:szCs w:val="20"/>
                <w:color w:val="auto"/>
              </w:rPr>
            </w:pPr>
            <w:r>
              <w:rPr>
                <w:rFonts w:ascii="Arial" w:cs="Arial" w:eastAsia="Arial" w:hAnsi="Arial"/>
                <w:sz w:val="14"/>
                <w:szCs w:val="14"/>
                <w:color w:val="auto"/>
              </w:rPr>
              <w:t>131.72</w:t>
            </w:r>
          </w:p>
        </w:tc>
        <w:tc>
          <w:tcPr>
            <w:tcW w:w="1080" w:type="dxa"/>
            <w:vAlign w:val="bottom"/>
            <w:tcBorders>
              <w:bottom w:val="single" w:sz="8" w:color="F1F2F2"/>
            </w:tcBorders>
            <w:shd w:val="clear" w:color="auto" w:fill="F1F2F2"/>
          </w:tcPr>
          <w:p>
            <w:pPr>
              <w:jc w:val="right"/>
              <w:ind w:right="91"/>
              <w:spacing w:after="0"/>
              <w:rPr>
                <w:sz w:val="20"/>
                <w:szCs w:val="20"/>
                <w:color w:val="auto"/>
              </w:rPr>
            </w:pPr>
            <w:r>
              <w:rPr>
                <w:rFonts w:ascii="Arial" w:cs="Arial" w:eastAsia="Arial" w:hAnsi="Arial"/>
                <w:sz w:val="14"/>
                <w:szCs w:val="14"/>
                <w:color w:val="auto"/>
              </w:rPr>
              <w:t>1,004</w:t>
            </w:r>
          </w:p>
        </w:tc>
        <w:tc>
          <w:tcPr>
            <w:tcW w:w="1060" w:type="dxa"/>
            <w:vAlign w:val="bottom"/>
            <w:tcBorders>
              <w:bottom w:val="single" w:sz="8" w:color="F1F2F2"/>
            </w:tcBorders>
            <w:shd w:val="clear" w:color="auto" w:fill="F1F2F2"/>
          </w:tcPr>
          <w:p>
            <w:pPr>
              <w:jc w:val="right"/>
              <w:ind w:right="73"/>
              <w:spacing w:after="0"/>
              <w:rPr>
                <w:sz w:val="20"/>
                <w:szCs w:val="20"/>
                <w:color w:val="auto"/>
              </w:rPr>
            </w:pPr>
            <w:r>
              <w:rPr>
                <w:rFonts w:ascii="Arial" w:cs="Arial" w:eastAsia="Arial" w:hAnsi="Arial"/>
                <w:sz w:val="14"/>
                <w:szCs w:val="14"/>
                <w:color w:val="auto"/>
              </w:rPr>
              <w:t>19.49</w:t>
            </w:r>
          </w:p>
        </w:tc>
      </w:tr>
      <w:tr>
        <w:trPr>
          <w:trHeight w:val="275"/>
        </w:trPr>
        <w:tc>
          <w:tcPr>
            <w:tcW w:w="580" w:type="dxa"/>
            <w:vAlign w:val="bottom"/>
          </w:tcPr>
          <w:p>
            <w:pPr>
              <w:jc w:val="center"/>
              <w:ind w:left="31"/>
              <w:spacing w:after="0"/>
              <w:rPr>
                <w:sz w:val="20"/>
                <w:szCs w:val="20"/>
                <w:color w:val="auto"/>
              </w:rPr>
            </w:pPr>
            <w:r>
              <w:rPr>
                <w:rFonts w:ascii="Arial" w:cs="Arial" w:eastAsia="Arial" w:hAnsi="Arial"/>
                <w:sz w:val="14"/>
                <w:szCs w:val="14"/>
                <w:color w:val="auto"/>
              </w:rPr>
              <w:t>2023</w:t>
            </w:r>
          </w:p>
        </w:tc>
        <w:tc>
          <w:tcPr>
            <w:tcW w:w="1060" w:type="dxa"/>
            <w:vAlign w:val="bottom"/>
          </w:tcPr>
          <w:p>
            <w:pPr>
              <w:jc w:val="right"/>
              <w:spacing w:after="0"/>
              <w:rPr>
                <w:sz w:val="20"/>
                <w:szCs w:val="20"/>
                <w:color w:val="auto"/>
              </w:rPr>
            </w:pPr>
            <w:r>
              <w:rPr>
                <w:rFonts w:ascii="Arial" w:cs="Arial" w:eastAsia="Arial" w:hAnsi="Arial"/>
                <w:sz w:val="14"/>
                <w:szCs w:val="14"/>
                <w:color w:val="auto"/>
              </w:rPr>
              <w:t>2,669,024</w:t>
            </w:r>
          </w:p>
        </w:tc>
        <w:tc>
          <w:tcPr>
            <w:tcW w:w="1020" w:type="dxa"/>
            <w:vAlign w:val="bottom"/>
          </w:tcPr>
          <w:p>
            <w:pPr>
              <w:jc w:val="right"/>
              <w:spacing w:after="0"/>
              <w:rPr>
                <w:sz w:val="20"/>
                <w:szCs w:val="20"/>
                <w:color w:val="auto"/>
              </w:rPr>
            </w:pPr>
            <w:r>
              <w:rPr>
                <w:rFonts w:ascii="Arial" w:cs="Arial" w:eastAsia="Arial" w:hAnsi="Arial"/>
                <w:sz w:val="14"/>
                <w:szCs w:val="14"/>
                <w:color w:val="auto"/>
              </w:rPr>
              <w:t>21,140,906</w:t>
            </w:r>
          </w:p>
        </w:tc>
        <w:tc>
          <w:tcPr>
            <w:tcW w:w="1120" w:type="dxa"/>
            <w:vAlign w:val="bottom"/>
          </w:tcPr>
          <w:p>
            <w:pPr>
              <w:jc w:val="right"/>
              <w:spacing w:after="0"/>
              <w:rPr>
                <w:sz w:val="20"/>
                <w:szCs w:val="20"/>
                <w:color w:val="auto"/>
              </w:rPr>
            </w:pPr>
            <w:r>
              <w:rPr>
                <w:rFonts w:ascii="Arial" w:cs="Arial" w:eastAsia="Arial" w:hAnsi="Arial"/>
                <w:sz w:val="14"/>
                <w:szCs w:val="14"/>
                <w:color w:val="auto"/>
              </w:rPr>
              <w:t>3,076,074</w:t>
            </w:r>
          </w:p>
        </w:tc>
        <w:tc>
          <w:tcPr>
            <w:tcW w:w="1080" w:type="dxa"/>
            <w:vAlign w:val="bottom"/>
          </w:tcPr>
          <w:p>
            <w:pPr>
              <w:jc w:val="right"/>
              <w:spacing w:after="0"/>
              <w:rPr>
                <w:sz w:val="20"/>
                <w:szCs w:val="20"/>
                <w:color w:val="auto"/>
              </w:rPr>
            </w:pPr>
            <w:r>
              <w:rPr>
                <w:rFonts w:ascii="Arial" w:cs="Arial" w:eastAsia="Arial" w:hAnsi="Arial"/>
                <w:sz w:val="14"/>
                <w:szCs w:val="14"/>
                <w:color w:val="auto"/>
              </w:rPr>
              <w:t>5,914,216</w:t>
            </w:r>
          </w:p>
        </w:tc>
        <w:tc>
          <w:tcPr>
            <w:tcW w:w="940" w:type="dxa"/>
            <w:vAlign w:val="bottom"/>
          </w:tcPr>
          <w:p>
            <w:pPr>
              <w:jc w:val="right"/>
              <w:spacing w:after="0"/>
              <w:rPr>
                <w:sz w:val="20"/>
                <w:szCs w:val="20"/>
                <w:color w:val="auto"/>
              </w:rPr>
            </w:pPr>
            <w:r>
              <w:rPr>
                <w:rFonts w:ascii="Arial" w:cs="Arial" w:eastAsia="Arial" w:hAnsi="Arial"/>
                <w:sz w:val="14"/>
                <w:szCs w:val="14"/>
                <w:color w:val="auto"/>
              </w:rPr>
              <w:t>103.58</w:t>
            </w:r>
          </w:p>
        </w:tc>
        <w:tc>
          <w:tcPr>
            <w:tcW w:w="1080" w:type="dxa"/>
            <w:vAlign w:val="bottom"/>
          </w:tcPr>
          <w:p>
            <w:pPr>
              <w:jc w:val="right"/>
              <w:ind w:right="113"/>
              <w:spacing w:after="0"/>
              <w:rPr>
                <w:sz w:val="20"/>
                <w:szCs w:val="20"/>
                <w:color w:val="auto"/>
              </w:rPr>
            </w:pPr>
            <w:r>
              <w:rPr>
                <w:rFonts w:ascii="Arial" w:cs="Arial" w:eastAsia="Arial" w:hAnsi="Arial"/>
                <w:sz w:val="14"/>
                <w:szCs w:val="14"/>
                <w:color w:val="auto"/>
              </w:rPr>
              <w:t>119.87</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982</w:t>
            </w: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17.18</w:t>
            </w:r>
          </w:p>
        </w:tc>
      </w:tr>
      <w:tr>
        <w:trPr>
          <w:trHeight w:val="49"/>
        </w:trPr>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304"/>
        </w:trPr>
        <w:tc>
          <w:tcPr>
            <w:tcW w:w="580" w:type="dxa"/>
            <w:vAlign w:val="bottom"/>
            <w:tcBorders>
              <w:bottom w:val="single" w:sz="8" w:color="F1F2F2"/>
            </w:tcBorders>
            <w:shd w:val="clear" w:color="auto" w:fill="F1F2F2"/>
          </w:tcPr>
          <w:p>
            <w:pPr>
              <w:jc w:val="center"/>
              <w:ind w:left="31"/>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3,986,998</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(24,347,434)</w:t>
            </w:r>
          </w:p>
        </w:tc>
        <w:tc>
          <w:tcPr>
            <w:tcW w:w="11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3,883,399</w:t>
            </w:r>
          </w:p>
        </w:tc>
        <w:tc>
          <w:tcPr>
            <w:tcW w:w="10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208,386</w:t>
            </w:r>
          </w:p>
        </w:tc>
        <w:tc>
          <w:tcPr>
            <w:tcW w:w="9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67.32</w:t>
            </w:r>
          </w:p>
        </w:tc>
        <w:tc>
          <w:tcPr>
            <w:tcW w:w="1080" w:type="dxa"/>
            <w:vAlign w:val="bottom"/>
            <w:tcBorders>
              <w:bottom w:val="single" w:sz="8" w:color="F1F2F2"/>
            </w:tcBorders>
            <w:shd w:val="clear" w:color="auto" w:fill="F1F2F2"/>
          </w:tcPr>
          <w:p>
            <w:pPr>
              <w:jc w:val="right"/>
              <w:ind w:right="113"/>
              <w:spacing w:after="0"/>
              <w:rPr>
                <w:sz w:val="20"/>
                <w:szCs w:val="20"/>
                <w:color w:val="auto"/>
              </w:rPr>
            </w:pPr>
            <w:r>
              <w:rPr>
                <w:rFonts w:ascii="Arial" w:cs="Arial" w:eastAsia="Arial" w:hAnsi="Arial"/>
                <w:sz w:val="14"/>
                <w:szCs w:val="14"/>
                <w:color w:val="auto"/>
              </w:rPr>
              <w:t>78.81</w:t>
            </w:r>
          </w:p>
        </w:tc>
        <w:tc>
          <w:tcPr>
            <w:tcW w:w="1080" w:type="dxa"/>
            <w:vAlign w:val="bottom"/>
            <w:tcBorders>
              <w:bottom w:val="single" w:sz="8" w:color="F1F2F2"/>
            </w:tcBorders>
            <w:shd w:val="clear" w:color="auto" w:fill="F1F2F2"/>
          </w:tcPr>
          <w:p>
            <w:pPr>
              <w:jc w:val="right"/>
              <w:ind w:right="91"/>
              <w:spacing w:after="0"/>
              <w:rPr>
                <w:sz w:val="20"/>
                <w:szCs w:val="20"/>
                <w:color w:val="auto"/>
              </w:rPr>
            </w:pPr>
            <w:r>
              <w:rPr>
                <w:rFonts w:ascii="Arial" w:cs="Arial" w:eastAsia="Arial" w:hAnsi="Arial"/>
                <w:sz w:val="14"/>
                <w:szCs w:val="14"/>
                <w:color w:val="auto"/>
              </w:rPr>
              <w:t>954</w:t>
            </w:r>
          </w:p>
        </w:tc>
        <w:tc>
          <w:tcPr>
            <w:tcW w:w="1060" w:type="dxa"/>
            <w:vAlign w:val="bottom"/>
            <w:tcBorders>
              <w:bottom w:val="single" w:sz="8" w:color="F1F2F2"/>
            </w:tcBorders>
            <w:shd w:val="clear" w:color="auto" w:fill="F1F2F2"/>
          </w:tcPr>
          <w:p>
            <w:pPr>
              <w:jc w:val="right"/>
              <w:ind w:right="73"/>
              <w:spacing w:after="0"/>
              <w:rPr>
                <w:sz w:val="20"/>
                <w:szCs w:val="20"/>
                <w:color w:val="auto"/>
              </w:rPr>
            </w:pPr>
            <w:r>
              <w:rPr>
                <w:rFonts w:ascii="Arial" w:cs="Arial" w:eastAsia="Arial" w:hAnsi="Arial"/>
                <w:sz w:val="14"/>
                <w:szCs w:val="14"/>
                <w:color w:val="auto"/>
              </w:rPr>
              <w:t>15.54</w:t>
            </w:r>
          </w:p>
        </w:tc>
      </w:tr>
      <w:tr>
        <w:trPr>
          <w:trHeight w:val="275"/>
        </w:trPr>
        <w:tc>
          <w:tcPr>
            <w:tcW w:w="580" w:type="dxa"/>
            <w:vAlign w:val="bottom"/>
          </w:tcPr>
          <w:p>
            <w:pPr>
              <w:jc w:val="center"/>
              <w:ind w:left="31"/>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spacing w:after="0"/>
              <w:rPr>
                <w:sz w:val="20"/>
                <w:szCs w:val="20"/>
                <w:color w:val="auto"/>
              </w:rPr>
            </w:pPr>
            <w:r>
              <w:rPr>
                <w:rFonts w:ascii="Arial" w:cs="Arial" w:eastAsia="Arial" w:hAnsi="Arial"/>
                <w:sz w:val="14"/>
                <w:szCs w:val="14"/>
                <w:color w:val="auto"/>
              </w:rPr>
              <w:t>57,923,473</w:t>
            </w:r>
          </w:p>
        </w:tc>
        <w:tc>
          <w:tcPr>
            <w:tcW w:w="1020" w:type="dxa"/>
            <w:vAlign w:val="bottom"/>
          </w:tcPr>
          <w:p>
            <w:pPr>
              <w:jc w:val="right"/>
              <w:spacing w:after="0"/>
              <w:rPr>
                <w:sz w:val="20"/>
                <w:szCs w:val="20"/>
                <w:color w:val="auto"/>
              </w:rPr>
            </w:pPr>
            <w:r>
              <w:rPr>
                <w:rFonts w:ascii="Arial" w:cs="Arial" w:eastAsia="Arial" w:hAnsi="Arial"/>
                <w:sz w:val="14"/>
                <w:szCs w:val="14"/>
                <w:color w:val="auto"/>
              </w:rPr>
              <w:t>31,186,881</w:t>
            </w:r>
          </w:p>
        </w:tc>
        <w:tc>
          <w:tcPr>
            <w:tcW w:w="1120" w:type="dxa"/>
            <w:vAlign w:val="bottom"/>
          </w:tcPr>
          <w:p>
            <w:pPr>
              <w:jc w:val="right"/>
              <w:spacing w:after="0"/>
              <w:rPr>
                <w:sz w:val="20"/>
                <w:szCs w:val="20"/>
                <w:color w:val="auto"/>
              </w:rPr>
            </w:pPr>
            <w:r>
              <w:rPr>
                <w:rFonts w:ascii="Arial" w:cs="Arial" w:eastAsia="Arial" w:hAnsi="Arial"/>
                <w:sz w:val="14"/>
                <w:szCs w:val="14"/>
                <w:color w:val="auto"/>
              </w:rPr>
              <w:t>4,524,830</w:t>
            </w:r>
          </w:p>
        </w:tc>
        <w:tc>
          <w:tcPr>
            <w:tcW w:w="1080" w:type="dxa"/>
            <w:vAlign w:val="bottom"/>
          </w:tcPr>
          <w:p>
            <w:pPr>
              <w:jc w:val="right"/>
              <w:spacing w:after="0"/>
              <w:rPr>
                <w:sz w:val="20"/>
                <w:szCs w:val="20"/>
                <w:color w:val="auto"/>
              </w:rPr>
            </w:pPr>
            <w:r>
              <w:rPr>
                <w:rFonts w:ascii="Arial" w:cs="Arial" w:eastAsia="Arial" w:hAnsi="Arial"/>
                <w:sz w:val="14"/>
                <w:szCs w:val="14"/>
                <w:color w:val="auto"/>
              </w:rPr>
              <w:t>2,515,971</w:t>
            </w:r>
          </w:p>
        </w:tc>
        <w:tc>
          <w:tcPr>
            <w:tcW w:w="940" w:type="dxa"/>
            <w:vAlign w:val="bottom"/>
          </w:tcPr>
          <w:p>
            <w:pPr>
              <w:jc w:val="right"/>
              <w:spacing w:after="0"/>
              <w:rPr>
                <w:sz w:val="20"/>
                <w:szCs w:val="20"/>
                <w:color w:val="auto"/>
              </w:rPr>
            </w:pPr>
            <w:r>
              <w:rPr>
                <w:rFonts w:ascii="Arial" w:cs="Arial" w:eastAsia="Arial" w:hAnsi="Arial"/>
                <w:sz w:val="14"/>
                <w:szCs w:val="14"/>
                <w:color w:val="auto"/>
              </w:rPr>
              <w:t>82.04</w:t>
            </w:r>
          </w:p>
        </w:tc>
        <w:tc>
          <w:tcPr>
            <w:tcW w:w="1080" w:type="dxa"/>
            <w:vAlign w:val="bottom"/>
          </w:tcPr>
          <w:p>
            <w:pPr>
              <w:jc w:val="right"/>
              <w:ind w:right="113"/>
              <w:spacing w:after="0"/>
              <w:rPr>
                <w:sz w:val="20"/>
                <w:szCs w:val="20"/>
                <w:color w:val="auto"/>
              </w:rPr>
            </w:pPr>
            <w:r>
              <w:rPr>
                <w:rFonts w:ascii="Arial" w:cs="Arial" w:eastAsia="Arial" w:hAnsi="Arial"/>
                <w:sz w:val="14"/>
                <w:szCs w:val="14"/>
                <w:color w:val="auto"/>
              </w:rPr>
              <w:t>95.30</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839</w:t>
            </w:r>
          </w:p>
        </w:tc>
        <w:tc>
          <w:tcPr>
            <w:tcW w:w="1060" w:type="dxa"/>
            <w:vAlign w:val="bottom"/>
          </w:tcPr>
          <w:p>
            <w:pPr>
              <w:jc w:val="right"/>
              <w:ind w:right="73"/>
              <w:spacing w:after="0"/>
              <w:rPr>
                <w:sz w:val="20"/>
                <w:szCs w:val="20"/>
                <w:color w:val="auto"/>
              </w:rPr>
            </w:pPr>
            <w:r>
              <w:rPr>
                <w:rFonts w:ascii="Arial" w:cs="Arial" w:eastAsia="Arial" w:hAnsi="Arial"/>
                <w:sz w:val="14"/>
                <w:szCs w:val="14"/>
                <w:color w:val="auto"/>
              </w:rPr>
              <w:t>12.66</w:t>
            </w:r>
          </w:p>
        </w:tc>
      </w:tr>
      <w:tr>
        <w:trPr>
          <w:trHeight w:val="49"/>
        </w:trPr>
        <w:tc>
          <w:tcPr>
            <w:tcW w:w="580" w:type="dxa"/>
            <w:vAlign w:val="bottom"/>
            <w:tcBorders>
              <w:bottom w:val="single" w:sz="8" w:color="C43776"/>
            </w:tcBorders>
          </w:tcPr>
          <w:p>
            <w:pPr>
              <w:spacing w:after="0"/>
              <w:rPr>
                <w:sz w:val="4"/>
                <w:szCs w:val="4"/>
                <w:color w:val="auto"/>
              </w:rPr>
            </w:pPr>
          </w:p>
        </w:tc>
        <w:tc>
          <w:tcPr>
            <w:tcW w:w="1060" w:type="dxa"/>
            <w:vAlign w:val="bottom"/>
            <w:tcBorders>
              <w:bottom w:val="single" w:sz="8" w:color="C43776"/>
            </w:tcBorders>
          </w:tcPr>
          <w:p>
            <w:pPr>
              <w:spacing w:after="0"/>
              <w:rPr>
                <w:sz w:val="4"/>
                <w:szCs w:val="4"/>
                <w:color w:val="auto"/>
              </w:rPr>
            </w:pPr>
          </w:p>
        </w:tc>
        <w:tc>
          <w:tcPr>
            <w:tcW w:w="1020" w:type="dxa"/>
            <w:vAlign w:val="bottom"/>
            <w:tcBorders>
              <w:bottom w:val="single" w:sz="8" w:color="C43776"/>
            </w:tcBorders>
          </w:tcPr>
          <w:p>
            <w:pPr>
              <w:spacing w:after="0"/>
              <w:rPr>
                <w:sz w:val="4"/>
                <w:szCs w:val="4"/>
                <w:color w:val="auto"/>
              </w:rPr>
            </w:pPr>
          </w:p>
        </w:tc>
        <w:tc>
          <w:tcPr>
            <w:tcW w:w="1120" w:type="dxa"/>
            <w:vAlign w:val="bottom"/>
            <w:tcBorders>
              <w:bottom w:val="single" w:sz="8" w:color="C43776"/>
            </w:tcBorders>
          </w:tcPr>
          <w:p>
            <w:pPr>
              <w:spacing w:after="0"/>
              <w:rPr>
                <w:sz w:val="4"/>
                <w:szCs w:val="4"/>
                <w:color w:val="auto"/>
              </w:rPr>
            </w:pPr>
          </w:p>
        </w:tc>
        <w:tc>
          <w:tcPr>
            <w:tcW w:w="1080" w:type="dxa"/>
            <w:vAlign w:val="bottom"/>
            <w:tcBorders>
              <w:bottom w:val="single" w:sz="8" w:color="C43776"/>
            </w:tcBorders>
          </w:tcPr>
          <w:p>
            <w:pPr>
              <w:spacing w:after="0"/>
              <w:rPr>
                <w:sz w:val="4"/>
                <w:szCs w:val="4"/>
                <w:color w:val="auto"/>
              </w:rPr>
            </w:pPr>
          </w:p>
        </w:tc>
        <w:tc>
          <w:tcPr>
            <w:tcW w:w="940" w:type="dxa"/>
            <w:vAlign w:val="bottom"/>
            <w:tcBorders>
              <w:bottom w:val="single" w:sz="8" w:color="C43776"/>
            </w:tcBorders>
          </w:tcPr>
          <w:p>
            <w:pPr>
              <w:spacing w:after="0"/>
              <w:rPr>
                <w:sz w:val="4"/>
                <w:szCs w:val="4"/>
                <w:color w:val="auto"/>
              </w:rPr>
            </w:pPr>
          </w:p>
        </w:tc>
        <w:tc>
          <w:tcPr>
            <w:tcW w:w="1080" w:type="dxa"/>
            <w:vAlign w:val="bottom"/>
            <w:tcBorders>
              <w:bottom w:val="single" w:sz="8" w:color="C43776"/>
            </w:tcBorders>
          </w:tcPr>
          <w:p>
            <w:pPr>
              <w:spacing w:after="0"/>
              <w:rPr>
                <w:sz w:val="4"/>
                <w:szCs w:val="4"/>
                <w:color w:val="auto"/>
              </w:rPr>
            </w:pPr>
          </w:p>
        </w:tc>
        <w:tc>
          <w:tcPr>
            <w:tcW w:w="1080" w:type="dxa"/>
            <w:vAlign w:val="bottom"/>
            <w:tcBorders>
              <w:bottom w:val="single" w:sz="8" w:color="C43776"/>
            </w:tcBorders>
          </w:tcPr>
          <w:p>
            <w:pPr>
              <w:spacing w:after="0"/>
              <w:rPr>
                <w:sz w:val="4"/>
                <w:szCs w:val="4"/>
                <w:color w:val="auto"/>
              </w:rPr>
            </w:pPr>
          </w:p>
        </w:tc>
        <w:tc>
          <w:tcPr>
            <w:tcW w:w="1060" w:type="dxa"/>
            <w:vAlign w:val="bottom"/>
            <w:tcBorders>
              <w:bottom w:val="single" w:sz="8" w:color="C43776"/>
            </w:tcBorders>
          </w:tcPr>
          <w:p>
            <w:pPr>
              <w:spacing w:after="0"/>
              <w:rPr>
                <w:sz w:val="4"/>
                <w:szCs w:val="4"/>
                <w:color w:val="auto"/>
              </w:rPr>
            </w:pPr>
          </w:p>
        </w:tc>
      </w:tr>
    </w:tbl>
    <w:p>
      <w:pPr>
        <w:spacing w:after="0" w:line="106" w:lineRule="exact"/>
        <w:rPr>
          <w:sz w:val="20"/>
          <w:szCs w:val="20"/>
          <w:color w:val="auto"/>
        </w:rPr>
      </w:pPr>
    </w:p>
    <w:p>
      <w:pPr>
        <w:ind w:left="340" w:right="60" w:hanging="332"/>
        <w:spacing w:after="0" w:line="253" w:lineRule="auto"/>
        <w:tabs>
          <w:tab w:leader="none" w:pos="34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Mr. Clarke was our principal executive officer (“PEO”) for the full year for each of 2025, 2024, 2023, 2022 and 2021. For 2025, our non-PEO NEOs were Mr. Walker, Mr. Panther, Ms. Vickery, Mr. Netto and Mr. King. For 2024 and 2023, our non-PEO NEOs were Mr. Panther, Ms. Vickery, Mr. Netto and Mr. King. For 2022, our non-PEO NEOs were Ms. Vickery, Charles Freund, Mr. Netto, Mr. King, Alexey Gavrilenya and John Coughlin. For 2021, our non-PEO NEOs were Mr. Freund, Mr. Coughlin, Mr. Gavrilenya and Mr. Netto.</w:t>
      </w:r>
    </w:p>
    <w:p>
      <w:pPr>
        <w:spacing w:after="0" w:line="31" w:lineRule="exact"/>
        <w:rPr>
          <w:rFonts w:ascii="Arial" w:cs="Arial" w:eastAsia="Arial" w:hAnsi="Arial"/>
          <w:sz w:val="13"/>
          <w:szCs w:val="13"/>
          <w:i w:val="1"/>
          <w:iCs w:val="1"/>
          <w:color w:val="auto"/>
        </w:rPr>
      </w:pPr>
    </w:p>
    <w:p>
      <w:pPr>
        <w:ind w:left="340" w:right="400" w:hanging="332"/>
        <w:spacing w:after="0" w:line="250" w:lineRule="auto"/>
        <w:tabs>
          <w:tab w:leader="none" w:pos="34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For each of Covered Year, in determining both the CAP to our PEO and the average CAP to our non-PEO NEOs for purposes of this PVP Table, we deducted from or added back to the total amounts of compensation reported in column (b) or column (d) (as applicable) for such Covered Year certain amounts, including the following amounts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58</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60"/>
          </w:cols>
          <w:pgMar w:left="1400" w:top="1440" w:right="1439" w:bottom="1440" w:gutter="0" w:footer="0" w:header="0"/>
        </w:sectPr>
      </w:pPr>
    </w:p>
    <w:bookmarkStart w:id="64" w:name="page65"/>
    <w:bookmarkEnd w:id="64"/>
    <w:p>
      <w:pPr>
        <w:ind w:left="52"/>
        <w:spacing w:after="0"/>
        <w:tabs>
          <w:tab w:leader="none" w:pos="6112"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11. PAY VERSUS PERFORMANCE DISCLOSURE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332" w:type="dxa"/>
        <w:tblCellMar>
          <w:top w:w="0" w:type="dxa"/>
          <w:left w:w="0" w:type="dxa"/>
          <w:bottom w:w="0" w:type="dxa"/>
          <w:right w:w="0" w:type="dxa"/>
        </w:tblCellMar>
      </w:tblPr>
      <w:tr>
        <w:trPr>
          <w:trHeight w:val="423"/>
        </w:trPr>
        <w:tc>
          <w:tcPr>
            <w:tcW w:w="80" w:type="dxa"/>
            <w:vAlign w:val="bottom"/>
            <w:tcBorders>
              <w:bottom w:val="single" w:sz="8" w:color="C43776"/>
            </w:tcBorders>
            <w:shd w:val="clear" w:color="auto" w:fill="C43776"/>
          </w:tcPr>
          <w:p>
            <w:pPr>
              <w:spacing w:after="0"/>
              <w:rPr>
                <w:sz w:val="24"/>
                <w:szCs w:val="24"/>
                <w:color w:val="auto"/>
              </w:rPr>
            </w:pPr>
          </w:p>
        </w:tc>
        <w:tc>
          <w:tcPr>
            <w:tcW w:w="5360" w:type="dxa"/>
            <w:vAlign w:val="bottom"/>
            <w:tcBorders>
              <w:bottom w:val="single" w:sz="8" w:color="C43776"/>
            </w:tcBorders>
            <w:shd w:val="clear" w:color="auto" w:fill="C43776"/>
          </w:tcPr>
          <w:p>
            <w:pPr>
              <w:ind w:left="60"/>
              <w:spacing w:after="0"/>
              <w:rPr>
                <w:sz w:val="20"/>
                <w:szCs w:val="20"/>
                <w:color w:val="auto"/>
              </w:rPr>
            </w:pPr>
            <w:r>
              <w:rPr>
                <w:rFonts w:ascii="Arial" w:cs="Arial" w:eastAsia="Arial" w:hAnsi="Arial"/>
                <w:sz w:val="14"/>
                <w:szCs w:val="14"/>
                <w:b w:val="1"/>
                <w:bCs w:val="1"/>
                <w:color w:val="FFFFFF"/>
              </w:rPr>
              <w:t>Item and Value Added (Deducted)</w:t>
            </w:r>
          </w:p>
        </w:tc>
        <w:tc>
          <w:tcPr>
            <w:tcW w:w="3200" w:type="dxa"/>
            <w:vAlign w:val="bottom"/>
            <w:tcBorders>
              <w:bottom w:val="single" w:sz="8" w:color="C43776"/>
            </w:tcBorders>
            <w:gridSpan w:val="2"/>
            <w:shd w:val="clear" w:color="auto" w:fill="C43776"/>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C43776"/>
            </w:tcBorders>
            <w:shd w:val="clear" w:color="auto" w:fill="C43776"/>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CF1D4C"/>
            </w:tcBorders>
            <w:shd w:val="clear" w:color="auto" w:fill="C43776"/>
          </w:tcPr>
          <w:p>
            <w:pPr>
              <w:spacing w:after="0"/>
              <w:rPr>
                <w:sz w:val="16"/>
                <w:szCs w:val="16"/>
                <w:color w:val="auto"/>
              </w:rPr>
            </w:pPr>
          </w:p>
        </w:tc>
        <w:tc>
          <w:tcPr>
            <w:tcW w:w="5360" w:type="dxa"/>
            <w:vAlign w:val="bottom"/>
            <w:tcBorders>
              <w:top w:val="single" w:sz="8" w:color="C43776"/>
            </w:tcBorders>
            <w:shd w:val="clear" w:color="auto" w:fill="C43776"/>
          </w:tcPr>
          <w:p>
            <w:pPr>
              <w:ind w:left="60"/>
              <w:spacing w:after="0"/>
              <w:rPr>
                <w:sz w:val="20"/>
                <w:szCs w:val="20"/>
                <w:color w:val="auto"/>
              </w:rPr>
            </w:pPr>
            <w:r>
              <w:rPr>
                <w:rFonts w:ascii="Arial" w:cs="Arial" w:eastAsia="Arial" w:hAnsi="Arial"/>
                <w:sz w:val="14"/>
                <w:szCs w:val="14"/>
                <w:b w:val="1"/>
                <w:bCs w:val="1"/>
                <w:color w:val="FFFFFF"/>
              </w:rPr>
              <w:t>For Mr. Clarke:</w:t>
            </w:r>
          </w:p>
        </w:tc>
        <w:tc>
          <w:tcPr>
            <w:tcW w:w="100" w:type="dxa"/>
            <w:vAlign w:val="bottom"/>
            <w:tcBorders>
              <w:top w:val="single" w:sz="8" w:color="CF1D4C"/>
            </w:tcBorders>
            <w:shd w:val="clear" w:color="auto" w:fill="C43776"/>
          </w:tcPr>
          <w:p>
            <w:pPr>
              <w:spacing w:after="0"/>
              <w:rPr>
                <w:sz w:val="16"/>
                <w:szCs w:val="16"/>
                <w:color w:val="auto"/>
              </w:rPr>
            </w:pPr>
          </w:p>
        </w:tc>
        <w:tc>
          <w:tcPr>
            <w:tcW w:w="3100" w:type="dxa"/>
            <w:vAlign w:val="bottom"/>
            <w:tcBorders>
              <w:top w:val="single" w:sz="8" w:color="C43776"/>
            </w:tcBorders>
            <w:shd w:val="clear" w:color="auto" w:fill="C43776"/>
          </w:tcPr>
          <w:p>
            <w:pPr>
              <w:spacing w:after="0"/>
              <w:rPr>
                <w:sz w:val="16"/>
                <w:szCs w:val="16"/>
                <w:color w:val="auto"/>
              </w:rPr>
            </w:pPr>
          </w:p>
        </w:tc>
        <w:tc>
          <w:tcPr>
            <w:tcW w:w="100" w:type="dxa"/>
            <w:vAlign w:val="bottom"/>
            <w:tcBorders>
              <w:top w:val="single" w:sz="8" w:color="C43776"/>
            </w:tcBorders>
            <w:shd w:val="clear" w:color="auto" w:fill="C4377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shd w:val="clear" w:color="auto" w:fill="C43776"/>
          </w:tcPr>
          <w:p>
            <w:pPr>
              <w:spacing w:after="0"/>
              <w:rPr>
                <w:sz w:val="17"/>
                <w:szCs w:val="17"/>
                <w:color w:val="auto"/>
              </w:rPr>
            </w:pPr>
          </w:p>
        </w:tc>
        <w:tc>
          <w:tcPr>
            <w:tcW w:w="5360" w:type="dxa"/>
            <w:vAlign w:val="bottom"/>
            <w:shd w:val="clear" w:color="auto" w:fill="C43776"/>
          </w:tcPr>
          <w:p>
            <w:pPr>
              <w:ind w:left="60"/>
              <w:spacing w:after="0"/>
              <w:rPr>
                <w:sz w:val="20"/>
                <w:szCs w:val="20"/>
                <w:color w:val="auto"/>
              </w:rPr>
            </w:pPr>
            <w:r>
              <w:rPr>
                <w:rFonts w:ascii="Arial" w:cs="Arial" w:eastAsia="Arial" w:hAnsi="Arial"/>
                <w:sz w:val="14"/>
                <w:szCs w:val="14"/>
                <w:b w:val="1"/>
                <w:bCs w:val="1"/>
                <w:color w:val="FFFFFF"/>
              </w:rPr>
              <w:t>Summary Compensation Table Total:</w:t>
            </w:r>
          </w:p>
        </w:tc>
        <w:tc>
          <w:tcPr>
            <w:tcW w:w="100" w:type="dxa"/>
            <w:vAlign w:val="bottom"/>
            <w:shd w:val="clear" w:color="auto" w:fill="C43776"/>
          </w:tcPr>
          <w:p>
            <w:pPr>
              <w:spacing w:after="0"/>
              <w:rPr>
                <w:sz w:val="17"/>
                <w:szCs w:val="17"/>
                <w:color w:val="auto"/>
              </w:rPr>
            </w:pPr>
          </w:p>
        </w:tc>
        <w:tc>
          <w:tcPr>
            <w:tcW w:w="3100" w:type="dxa"/>
            <w:vAlign w:val="bottom"/>
            <w:shd w:val="clear" w:color="auto" w:fill="C43776"/>
          </w:tcPr>
          <w:p>
            <w:pPr>
              <w:jc w:val="right"/>
              <w:spacing w:after="0"/>
              <w:rPr>
                <w:sz w:val="20"/>
                <w:szCs w:val="20"/>
                <w:color w:val="auto"/>
              </w:rPr>
            </w:pPr>
            <w:r>
              <w:rPr>
                <w:rFonts w:ascii="Arial" w:cs="Arial" w:eastAsia="Arial" w:hAnsi="Arial"/>
                <w:sz w:val="14"/>
                <w:szCs w:val="14"/>
                <w:b w:val="1"/>
                <w:bCs w:val="1"/>
                <w:color w:val="FFFFFF"/>
              </w:rPr>
              <w:t>$3,406,867</w:t>
            </w:r>
          </w:p>
        </w:tc>
        <w:tc>
          <w:tcPr>
            <w:tcW w:w="100" w:type="dxa"/>
            <w:vAlign w:val="bottom"/>
            <w:shd w:val="clear" w:color="auto" w:fill="C43776"/>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0" w:type="dxa"/>
            <w:vAlign w:val="bottom"/>
            <w:shd w:val="clear" w:color="auto" w:fill="C43776"/>
          </w:tcPr>
          <w:p>
            <w:pPr>
              <w:spacing w:after="0"/>
              <w:rPr>
                <w:sz w:val="7"/>
                <w:szCs w:val="7"/>
                <w:color w:val="auto"/>
              </w:rPr>
            </w:pPr>
          </w:p>
        </w:tc>
        <w:tc>
          <w:tcPr>
            <w:tcW w:w="5360" w:type="dxa"/>
            <w:vAlign w:val="bottom"/>
            <w:shd w:val="clear" w:color="auto" w:fill="C43776"/>
          </w:tcPr>
          <w:p>
            <w:pPr>
              <w:spacing w:after="0"/>
              <w:rPr>
                <w:sz w:val="7"/>
                <w:szCs w:val="7"/>
                <w:color w:val="auto"/>
              </w:rPr>
            </w:pPr>
          </w:p>
        </w:tc>
        <w:tc>
          <w:tcPr>
            <w:tcW w:w="100" w:type="dxa"/>
            <w:vAlign w:val="bottom"/>
            <w:shd w:val="clear" w:color="auto" w:fill="C43776"/>
          </w:tcPr>
          <w:p>
            <w:pPr>
              <w:spacing w:after="0"/>
              <w:rPr>
                <w:sz w:val="7"/>
                <w:szCs w:val="7"/>
                <w:color w:val="auto"/>
              </w:rPr>
            </w:pPr>
          </w:p>
        </w:tc>
        <w:tc>
          <w:tcPr>
            <w:tcW w:w="3100" w:type="dxa"/>
            <w:vAlign w:val="bottom"/>
            <w:shd w:val="clear" w:color="auto" w:fill="C43776"/>
          </w:tcPr>
          <w:p>
            <w:pPr>
              <w:spacing w:after="0"/>
              <w:rPr>
                <w:sz w:val="7"/>
                <w:szCs w:val="7"/>
                <w:color w:val="auto"/>
              </w:rPr>
            </w:pPr>
          </w:p>
        </w:tc>
        <w:tc>
          <w:tcPr>
            <w:tcW w:w="100" w:type="dxa"/>
            <w:vAlign w:val="bottom"/>
            <w:shd w:val="clear" w:color="auto" w:fill="C43776"/>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SCT “Stock Awards” and "Option Awards" columns value</w:t>
            </w:r>
          </w:p>
        </w:tc>
        <w:tc>
          <w:tcPr>
            <w:tcW w:w="3200" w:type="dxa"/>
            <w:vAlign w:val="bottom"/>
            <w:gridSpan w:val="2"/>
          </w:tcPr>
          <w:p>
            <w:pPr>
              <w:jc w:val="right"/>
              <w:spacing w:after="0"/>
              <w:rPr>
                <w:sz w:val="20"/>
                <w:szCs w:val="20"/>
                <w:color w:val="auto"/>
              </w:rPr>
            </w:pPr>
            <w:r>
              <w:rPr>
                <w:rFonts w:ascii="Arial" w:cs="Arial" w:eastAsia="Arial" w:hAnsi="Arial"/>
                <w:sz w:val="14"/>
                <w:szCs w:val="14"/>
                <w:color w:val="auto"/>
              </w:rPr>
              <w:t>($2,000,120)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F1F2F2"/>
          </w:tcPr>
          <w:p>
            <w:pPr>
              <w:spacing w:after="0"/>
              <w:rPr>
                <w:sz w:val="22"/>
                <w:szCs w:val="22"/>
                <w:color w:val="auto"/>
              </w:rPr>
            </w:pPr>
          </w:p>
        </w:tc>
        <w:tc>
          <w:tcPr>
            <w:tcW w:w="5360" w:type="dxa"/>
            <w:vAlign w:val="bottom"/>
            <w:shd w:val="clear" w:color="auto" w:fill="F1F2F2"/>
          </w:tcPr>
          <w:p>
            <w:pPr>
              <w:ind w:left="60"/>
              <w:spacing w:after="0"/>
              <w:rPr>
                <w:sz w:val="20"/>
                <w:szCs w:val="20"/>
                <w:color w:val="auto"/>
              </w:rPr>
            </w:pPr>
            <w:r>
              <w:rPr>
                <w:rFonts w:ascii="Arial" w:cs="Arial" w:eastAsia="Arial" w:hAnsi="Arial"/>
                <w:sz w:val="14"/>
                <w:szCs w:val="14"/>
                <w:color w:val="auto"/>
              </w:rPr>
              <w:t>+ year-end fair value of outstanding equity awards granted in Covered Year that</w:t>
            </w:r>
          </w:p>
        </w:tc>
        <w:tc>
          <w:tcPr>
            <w:tcW w:w="3200" w:type="dxa"/>
            <w:vAlign w:val="bottom"/>
            <w:gridSpan w:val="2"/>
            <w:vMerge w:val="restart"/>
            <w:shd w:val="clear" w:color="auto" w:fill="F1F2F2"/>
          </w:tcPr>
          <w:p>
            <w:pPr>
              <w:jc w:val="right"/>
              <w:spacing w:after="0"/>
              <w:rPr>
                <w:sz w:val="20"/>
                <w:szCs w:val="20"/>
                <w:color w:val="auto"/>
              </w:rPr>
            </w:pPr>
            <w:r>
              <w:rPr>
                <w:rFonts w:ascii="Arial" w:cs="Arial" w:eastAsia="Arial" w:hAnsi="Arial"/>
                <w:sz w:val="14"/>
                <w:szCs w:val="14"/>
                <w:color w:val="auto"/>
              </w:rPr>
              <w:t>$1,994,037</w:t>
            </w:r>
          </w:p>
        </w:tc>
        <w:tc>
          <w:tcPr>
            <w:tcW w:w="10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80" w:type="dxa"/>
            <w:vAlign w:val="bottom"/>
            <w:shd w:val="clear" w:color="auto" w:fill="F1F2F2"/>
          </w:tcPr>
          <w:p>
            <w:pPr>
              <w:spacing w:after="0"/>
              <w:rPr>
                <w:sz w:val="8"/>
                <w:szCs w:val="8"/>
                <w:color w:val="auto"/>
              </w:rPr>
            </w:pPr>
          </w:p>
        </w:tc>
        <w:tc>
          <w:tcPr>
            <w:tcW w:w="5360" w:type="dxa"/>
            <w:vAlign w:val="bottom"/>
            <w:vMerge w:val="restart"/>
            <w:shd w:val="clear" w:color="auto" w:fill="F1F2F2"/>
          </w:tcPr>
          <w:p>
            <w:pPr>
              <w:ind w:left="60"/>
              <w:spacing w:after="0"/>
              <w:rPr>
                <w:sz w:val="20"/>
                <w:szCs w:val="20"/>
                <w:color w:val="auto"/>
              </w:rPr>
            </w:pPr>
            <w:r>
              <w:rPr>
                <w:rFonts w:ascii="Arial" w:cs="Arial" w:eastAsia="Arial" w:hAnsi="Arial"/>
                <w:sz w:val="14"/>
                <w:szCs w:val="14"/>
                <w:color w:val="auto"/>
              </w:rPr>
              <w:t>were outstanding as of Covered Year-end</w:t>
            </w:r>
          </w:p>
        </w:tc>
        <w:tc>
          <w:tcPr>
            <w:tcW w:w="3200" w:type="dxa"/>
            <w:vAlign w:val="bottom"/>
            <w:gridSpan w:val="2"/>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0" w:type="dxa"/>
            <w:vAlign w:val="bottom"/>
            <w:tcBorders>
              <w:bottom w:val="single" w:sz="8" w:color="F1F2F2"/>
            </w:tcBorders>
            <w:shd w:val="clear" w:color="auto" w:fill="F1F2F2"/>
          </w:tcPr>
          <w:p>
            <w:pPr>
              <w:spacing w:after="0"/>
              <w:rPr>
                <w:sz w:val="10"/>
                <w:szCs w:val="10"/>
                <w:color w:val="auto"/>
              </w:rPr>
            </w:pPr>
          </w:p>
        </w:tc>
        <w:tc>
          <w:tcPr>
            <w:tcW w:w="5360" w:type="dxa"/>
            <w:vAlign w:val="bottom"/>
            <w:tcBorders>
              <w:bottom w:val="single" w:sz="8" w:color="F1F2F2"/>
            </w:tcBorders>
            <w:vMerge w:val="continue"/>
            <w:shd w:val="clear" w:color="auto" w:fill="F1F2F2"/>
          </w:tcPr>
          <w:p>
            <w:pPr>
              <w:spacing w:after="0"/>
              <w:rPr>
                <w:sz w:val="10"/>
                <w:szCs w:val="10"/>
                <w:color w:val="auto"/>
              </w:rPr>
            </w:pPr>
          </w:p>
        </w:tc>
        <w:tc>
          <w:tcPr>
            <w:tcW w:w="100" w:type="dxa"/>
            <w:vAlign w:val="bottom"/>
            <w:tcBorders>
              <w:bottom w:val="single" w:sz="8" w:color="F1F2F2"/>
            </w:tcBorders>
            <w:shd w:val="clear" w:color="auto" w:fill="F1F2F2"/>
          </w:tcPr>
          <w:p>
            <w:pPr>
              <w:spacing w:after="0"/>
              <w:rPr>
                <w:sz w:val="10"/>
                <w:szCs w:val="10"/>
                <w:color w:val="auto"/>
              </w:rPr>
            </w:pPr>
          </w:p>
        </w:tc>
        <w:tc>
          <w:tcPr>
            <w:tcW w:w="3100" w:type="dxa"/>
            <w:vAlign w:val="bottom"/>
            <w:tcBorders>
              <w:bottom w:val="single" w:sz="8" w:color="F1F2F2"/>
            </w:tcBorders>
            <w:shd w:val="clear" w:color="auto" w:fill="F1F2F2"/>
          </w:tcPr>
          <w:p>
            <w:pPr>
              <w:spacing w:after="0"/>
              <w:rPr>
                <w:sz w:val="10"/>
                <w:szCs w:val="10"/>
                <w:color w:val="auto"/>
              </w:rPr>
            </w:pPr>
          </w:p>
        </w:tc>
        <w:tc>
          <w:tcPr>
            <w:tcW w:w="100" w:type="dxa"/>
            <w:vAlign w:val="bottom"/>
            <w:tcBorders>
              <w:bottom w:val="single" w:sz="8" w:color="F1F2F2"/>
            </w:tcBorders>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change in fair value (from prior year-end to Covered Year-end) of outstanding</w:t>
            </w:r>
          </w:p>
        </w:tc>
        <w:tc>
          <w:tcPr>
            <w:tcW w:w="3200" w:type="dxa"/>
            <w:vAlign w:val="bottom"/>
            <w:gridSpan w:val="2"/>
            <w:vMerge w:val="restart"/>
          </w:tcPr>
          <w:p>
            <w:pPr>
              <w:jc w:val="right"/>
              <w:spacing w:after="0"/>
              <w:rPr>
                <w:sz w:val="20"/>
                <w:szCs w:val="20"/>
                <w:color w:val="auto"/>
              </w:rPr>
            </w:pPr>
            <w:r>
              <w:rPr>
                <w:rFonts w:ascii="Arial" w:cs="Arial" w:eastAsia="Arial" w:hAnsi="Arial"/>
                <w:sz w:val="14"/>
                <w:szCs w:val="14"/>
                <w:color w:val="auto"/>
              </w:rPr>
              <w:t>(1,513,744)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5360" w:type="dxa"/>
            <w:vAlign w:val="bottom"/>
            <w:vMerge w:val="restart"/>
          </w:tcPr>
          <w:p>
            <w:pPr>
              <w:ind w:left="60"/>
              <w:spacing w:after="0"/>
              <w:rPr>
                <w:sz w:val="20"/>
                <w:szCs w:val="20"/>
                <w:color w:val="auto"/>
              </w:rPr>
            </w:pPr>
            <w:r>
              <w:rPr>
                <w:rFonts w:ascii="Arial" w:cs="Arial" w:eastAsia="Arial" w:hAnsi="Arial"/>
                <w:sz w:val="14"/>
                <w:szCs w:val="14"/>
                <w:color w:val="auto"/>
              </w:rPr>
              <w:t>equity awards granted in prior years that were outstanding as of Covered Year-end</w:t>
            </w:r>
          </w:p>
        </w:tc>
        <w:tc>
          <w:tcPr>
            <w:tcW w:w="32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5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0" w:type="dxa"/>
            <w:vAlign w:val="bottom"/>
            <w:tcBorders>
              <w:bottom w:val="single" w:sz="8" w:color="F1F2F2"/>
            </w:tcBorders>
            <w:shd w:val="clear" w:color="auto" w:fill="F1F2F2"/>
          </w:tcPr>
          <w:p>
            <w:pPr>
              <w:spacing w:after="0"/>
              <w:rPr>
                <w:sz w:val="24"/>
                <w:szCs w:val="24"/>
                <w:color w:val="auto"/>
              </w:rPr>
            </w:pPr>
          </w:p>
        </w:tc>
        <w:tc>
          <w:tcPr>
            <w:tcW w:w="536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4"/>
                <w:szCs w:val="14"/>
                <w:color w:val="auto"/>
              </w:rPr>
              <w:t>+ vesting date fair value of equity awards granted and vested in Covered Year</w:t>
            </w:r>
          </w:p>
        </w:tc>
        <w:tc>
          <w:tcPr>
            <w:tcW w:w="100" w:type="dxa"/>
            <w:vAlign w:val="bottom"/>
            <w:tcBorders>
              <w:bottom w:val="single" w:sz="8" w:color="F1F2F2"/>
            </w:tcBorders>
            <w:shd w:val="clear" w:color="auto" w:fill="F1F2F2"/>
          </w:tcPr>
          <w:p>
            <w:pPr>
              <w:spacing w:after="0"/>
              <w:rPr>
                <w:sz w:val="24"/>
                <w:szCs w:val="24"/>
                <w:color w:val="auto"/>
              </w:rPr>
            </w:pPr>
          </w:p>
        </w:tc>
        <w:tc>
          <w:tcPr>
            <w:tcW w:w="3200" w:type="dxa"/>
            <w:vAlign w:val="bottom"/>
            <w:tcBorders>
              <w:bottom w:val="single" w:sz="8" w:color="F1F2F2"/>
            </w:tcBorders>
            <w:gridSpan w:val="2"/>
            <w:shd w:val="clear" w:color="auto" w:fill="F1F2F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change in fair value (from prior year-end to vesting date) of prior-year equity</w:t>
            </w:r>
          </w:p>
        </w:tc>
        <w:tc>
          <w:tcPr>
            <w:tcW w:w="3200" w:type="dxa"/>
            <w:vAlign w:val="bottom"/>
            <w:gridSpan w:val="2"/>
            <w:vMerge w:val="restart"/>
          </w:tcPr>
          <w:p>
            <w:pPr>
              <w:jc w:val="right"/>
              <w:spacing w:after="0"/>
              <w:rPr>
                <w:sz w:val="20"/>
                <w:szCs w:val="20"/>
                <w:color w:val="auto"/>
              </w:rPr>
            </w:pPr>
            <w:r>
              <w:rPr>
                <w:rFonts w:ascii="Arial" w:cs="Arial" w:eastAsia="Arial" w:hAnsi="Arial"/>
                <w:sz w:val="14"/>
                <w:szCs w:val="14"/>
                <w:color w:val="auto"/>
              </w:rPr>
              <w:t>$835,512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5360" w:type="dxa"/>
            <w:vAlign w:val="bottom"/>
            <w:vMerge w:val="restart"/>
          </w:tcPr>
          <w:p>
            <w:pPr>
              <w:ind w:left="60"/>
              <w:spacing w:after="0"/>
              <w:rPr>
                <w:sz w:val="20"/>
                <w:szCs w:val="20"/>
                <w:color w:val="auto"/>
              </w:rPr>
            </w:pPr>
            <w:r>
              <w:rPr>
                <w:rFonts w:ascii="Arial" w:cs="Arial" w:eastAsia="Arial" w:hAnsi="Arial"/>
                <w:sz w:val="14"/>
                <w:szCs w:val="14"/>
                <w:color w:val="auto"/>
              </w:rPr>
              <w:t>awards vested in Covered Year</w:t>
            </w:r>
          </w:p>
        </w:tc>
        <w:tc>
          <w:tcPr>
            <w:tcW w:w="32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5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F1F2F2"/>
          </w:tcPr>
          <w:p>
            <w:pPr>
              <w:spacing w:after="0"/>
              <w:rPr>
                <w:sz w:val="19"/>
                <w:szCs w:val="19"/>
                <w:color w:val="auto"/>
              </w:rPr>
            </w:pPr>
          </w:p>
        </w:tc>
        <w:tc>
          <w:tcPr>
            <w:tcW w:w="5360" w:type="dxa"/>
            <w:vAlign w:val="bottom"/>
            <w:shd w:val="clear" w:color="auto" w:fill="F1F2F2"/>
          </w:tcPr>
          <w:p>
            <w:pPr>
              <w:ind w:left="60"/>
              <w:spacing w:after="0"/>
              <w:rPr>
                <w:sz w:val="20"/>
                <w:szCs w:val="20"/>
                <w:color w:val="auto"/>
              </w:rPr>
            </w:pPr>
            <w:r>
              <w:rPr>
                <w:rFonts w:ascii="Arial" w:cs="Arial" w:eastAsia="Arial" w:hAnsi="Arial"/>
                <w:sz w:val="14"/>
                <w:szCs w:val="14"/>
                <w:color w:val="auto"/>
              </w:rPr>
              <w:t>- fair value as of prior fiscal year-end of stock awards and option awards granted in</w:t>
            </w:r>
          </w:p>
        </w:tc>
        <w:tc>
          <w:tcPr>
            <w:tcW w:w="100" w:type="dxa"/>
            <w:vAlign w:val="bottom"/>
            <w:shd w:val="clear" w:color="auto" w:fill="F1F2F2"/>
          </w:tcPr>
          <w:p>
            <w:pPr>
              <w:spacing w:after="0"/>
              <w:rPr>
                <w:sz w:val="19"/>
                <w:szCs w:val="19"/>
                <w:color w:val="auto"/>
              </w:rPr>
            </w:pPr>
          </w:p>
        </w:tc>
        <w:tc>
          <w:tcPr>
            <w:tcW w:w="3200" w:type="dxa"/>
            <w:vAlign w:val="bottom"/>
            <w:gridSpan w:val="2"/>
            <w:vMerge w:val="restart"/>
            <w:shd w:val="clear" w:color="auto" w:fill="F1F2F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80" w:type="dxa"/>
            <w:vAlign w:val="bottom"/>
            <w:shd w:val="clear" w:color="auto" w:fill="F1F2F2"/>
          </w:tcPr>
          <w:p>
            <w:pPr>
              <w:spacing w:after="0"/>
              <w:rPr>
                <w:sz w:val="8"/>
                <w:szCs w:val="8"/>
                <w:color w:val="auto"/>
              </w:rPr>
            </w:pPr>
          </w:p>
        </w:tc>
        <w:tc>
          <w:tcPr>
            <w:tcW w:w="5360" w:type="dxa"/>
            <w:vAlign w:val="bottom"/>
            <w:vMerge w:val="restart"/>
            <w:shd w:val="clear" w:color="auto" w:fill="F1F2F2"/>
          </w:tcPr>
          <w:p>
            <w:pPr>
              <w:ind w:left="60"/>
              <w:spacing w:after="0"/>
              <w:rPr>
                <w:sz w:val="20"/>
                <w:szCs w:val="20"/>
                <w:color w:val="auto"/>
              </w:rPr>
            </w:pPr>
            <w:r>
              <w:rPr>
                <w:rFonts w:ascii="Arial" w:cs="Arial" w:eastAsia="Arial" w:hAnsi="Arial"/>
                <w:sz w:val="14"/>
                <w:szCs w:val="14"/>
                <w:color w:val="auto"/>
              </w:rPr>
              <w:t>prior fiscal years that failed to meet applicable vesting conditions during fiscal year</w:t>
            </w:r>
          </w:p>
        </w:tc>
        <w:tc>
          <w:tcPr>
            <w:tcW w:w="100" w:type="dxa"/>
            <w:vAlign w:val="bottom"/>
            <w:shd w:val="clear" w:color="auto" w:fill="F1F2F2"/>
          </w:tcPr>
          <w:p>
            <w:pPr>
              <w:spacing w:after="0"/>
              <w:rPr>
                <w:sz w:val="8"/>
                <w:szCs w:val="8"/>
                <w:color w:val="auto"/>
              </w:rPr>
            </w:pPr>
          </w:p>
        </w:tc>
        <w:tc>
          <w:tcPr>
            <w:tcW w:w="3200" w:type="dxa"/>
            <w:vAlign w:val="bottom"/>
            <w:gridSpan w:val="2"/>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0" w:type="dxa"/>
            <w:vAlign w:val="bottom"/>
            <w:shd w:val="clear" w:color="auto" w:fill="F1F2F2"/>
          </w:tcPr>
          <w:p>
            <w:pPr>
              <w:spacing w:after="0"/>
              <w:rPr>
                <w:sz w:val="8"/>
                <w:szCs w:val="8"/>
                <w:color w:val="auto"/>
              </w:rPr>
            </w:pPr>
          </w:p>
        </w:tc>
        <w:tc>
          <w:tcPr>
            <w:tcW w:w="5360" w:type="dxa"/>
            <w:vAlign w:val="bottom"/>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3100" w:type="dxa"/>
            <w:vAlign w:val="bottom"/>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prior year-end fair value of prior-year equity awards forfeited in Covered Year</w:t>
            </w:r>
          </w:p>
        </w:tc>
        <w:tc>
          <w:tcPr>
            <w:tcW w:w="100" w:type="dxa"/>
            <w:vAlign w:val="bottom"/>
          </w:tcPr>
          <w:p>
            <w:pPr>
              <w:spacing w:after="0"/>
              <w:rPr>
                <w:sz w:val="23"/>
                <w:szCs w:val="23"/>
                <w:color w:val="auto"/>
              </w:rPr>
            </w:pPr>
          </w:p>
        </w:tc>
        <w:tc>
          <w:tcPr>
            <w:tcW w:w="3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80" w:type="dxa"/>
            <w:vAlign w:val="bottom"/>
            <w:tcBorders>
              <w:bottom w:val="single" w:sz="8" w:color="F1F2F2"/>
            </w:tcBorders>
            <w:shd w:val="clear" w:color="auto" w:fill="F1F2F2"/>
          </w:tcPr>
          <w:p>
            <w:pPr>
              <w:spacing w:after="0"/>
              <w:rPr>
                <w:sz w:val="24"/>
                <w:szCs w:val="24"/>
                <w:color w:val="auto"/>
              </w:rPr>
            </w:pPr>
          </w:p>
        </w:tc>
        <w:tc>
          <w:tcPr>
            <w:tcW w:w="536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4"/>
                <w:szCs w:val="14"/>
                <w:color w:val="auto"/>
              </w:rPr>
              <w:t>+ includable dividends/earnings on equity awards during Covered Year</w:t>
            </w:r>
          </w:p>
        </w:tc>
        <w:tc>
          <w:tcPr>
            <w:tcW w:w="100" w:type="dxa"/>
            <w:vAlign w:val="bottom"/>
            <w:tcBorders>
              <w:bottom w:val="single" w:sz="8" w:color="F1F2F2"/>
            </w:tcBorders>
            <w:shd w:val="clear" w:color="auto" w:fill="F1F2F2"/>
          </w:tcPr>
          <w:p>
            <w:pPr>
              <w:spacing w:after="0"/>
              <w:rPr>
                <w:sz w:val="24"/>
                <w:szCs w:val="24"/>
                <w:color w:val="auto"/>
              </w:rPr>
            </w:pPr>
          </w:p>
        </w:tc>
        <w:tc>
          <w:tcPr>
            <w:tcW w:w="3200" w:type="dxa"/>
            <w:vAlign w:val="bottom"/>
            <w:tcBorders>
              <w:bottom w:val="single" w:sz="8" w:color="F1F2F2"/>
            </w:tcBorders>
            <w:gridSpan w:val="2"/>
            <w:shd w:val="clear" w:color="auto" w:fill="F1F2F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80" w:type="dxa"/>
            <w:vAlign w:val="bottom"/>
            <w:tcBorders>
              <w:bottom w:val="single" w:sz="8" w:color="582D43"/>
            </w:tcBorders>
            <w:shd w:val="clear" w:color="auto" w:fill="582D43"/>
          </w:tcPr>
          <w:p>
            <w:pPr>
              <w:spacing w:after="0"/>
              <w:rPr>
                <w:sz w:val="24"/>
                <w:szCs w:val="24"/>
                <w:color w:val="auto"/>
              </w:rPr>
            </w:pPr>
          </w:p>
        </w:tc>
        <w:tc>
          <w:tcPr>
            <w:tcW w:w="5360" w:type="dxa"/>
            <w:vAlign w:val="bottom"/>
            <w:tcBorders>
              <w:bottom w:val="single" w:sz="8" w:color="582D43"/>
            </w:tcBorders>
            <w:shd w:val="clear" w:color="auto" w:fill="582D43"/>
          </w:tcPr>
          <w:p>
            <w:pPr>
              <w:ind w:left="60"/>
              <w:spacing w:after="0"/>
              <w:rPr>
                <w:sz w:val="20"/>
                <w:szCs w:val="20"/>
                <w:color w:val="auto"/>
              </w:rPr>
            </w:pPr>
            <w:r>
              <w:rPr>
                <w:rFonts w:ascii="Arial" w:cs="Arial" w:eastAsia="Arial" w:hAnsi="Arial"/>
                <w:sz w:val="14"/>
                <w:szCs w:val="14"/>
                <w:b w:val="1"/>
                <w:bCs w:val="1"/>
                <w:color w:val="FFFFFF"/>
              </w:rPr>
              <w:t>Compensation Actually Paid:</w:t>
            </w:r>
          </w:p>
        </w:tc>
        <w:tc>
          <w:tcPr>
            <w:tcW w:w="3200" w:type="dxa"/>
            <w:vAlign w:val="bottom"/>
            <w:tcBorders>
              <w:bottom w:val="single" w:sz="8" w:color="582D43"/>
            </w:tcBorders>
            <w:gridSpan w:val="2"/>
            <w:shd w:val="clear" w:color="auto" w:fill="582D43"/>
          </w:tcPr>
          <w:p>
            <w:pPr>
              <w:jc w:val="right"/>
              <w:spacing w:after="0"/>
              <w:rPr>
                <w:sz w:val="20"/>
                <w:szCs w:val="20"/>
                <w:color w:val="auto"/>
              </w:rPr>
            </w:pPr>
            <w:r>
              <w:rPr>
                <w:rFonts w:ascii="Arial" w:cs="Arial" w:eastAsia="Arial" w:hAnsi="Arial"/>
                <w:sz w:val="14"/>
                <w:szCs w:val="14"/>
                <w:b w:val="1"/>
                <w:bCs w:val="1"/>
                <w:color w:val="FFFFFF"/>
              </w:rPr>
              <w:t>$2,722,552</w:t>
            </w:r>
          </w:p>
        </w:tc>
        <w:tc>
          <w:tcPr>
            <w:tcW w:w="100" w:type="dxa"/>
            <w:vAlign w:val="bottom"/>
            <w:tcBorders>
              <w:bottom w:val="single" w:sz="8" w:color="582D43"/>
            </w:tcBorders>
            <w:shd w:val="clear" w:color="auto" w:fill="582D43"/>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80" w:type="dxa"/>
            <w:vAlign w:val="bottom"/>
            <w:shd w:val="clear" w:color="auto" w:fill="C43776"/>
          </w:tcPr>
          <w:p>
            <w:pPr>
              <w:spacing w:after="0"/>
              <w:rPr>
                <w:sz w:val="24"/>
                <w:szCs w:val="24"/>
                <w:color w:val="auto"/>
              </w:rPr>
            </w:pPr>
          </w:p>
        </w:tc>
        <w:tc>
          <w:tcPr>
            <w:tcW w:w="5360" w:type="dxa"/>
            <w:vAlign w:val="bottom"/>
            <w:shd w:val="clear" w:color="auto" w:fill="C43776"/>
          </w:tcPr>
          <w:p>
            <w:pPr>
              <w:ind w:left="60"/>
              <w:spacing w:after="0"/>
              <w:rPr>
                <w:sz w:val="20"/>
                <w:szCs w:val="20"/>
                <w:color w:val="auto"/>
              </w:rPr>
            </w:pPr>
            <w:r>
              <w:rPr>
                <w:rFonts w:ascii="Arial" w:cs="Arial" w:eastAsia="Arial" w:hAnsi="Arial"/>
                <w:sz w:val="14"/>
                <w:szCs w:val="14"/>
                <w:b w:val="1"/>
                <w:bCs w:val="1"/>
                <w:color w:val="FFFFFF"/>
              </w:rPr>
              <w:t>For Non-PEO NEOs (Average):</w:t>
            </w:r>
          </w:p>
        </w:tc>
        <w:tc>
          <w:tcPr>
            <w:tcW w:w="100" w:type="dxa"/>
            <w:vAlign w:val="bottom"/>
            <w:shd w:val="clear" w:color="auto" w:fill="C43776"/>
          </w:tcPr>
          <w:p>
            <w:pPr>
              <w:spacing w:after="0"/>
              <w:rPr>
                <w:sz w:val="24"/>
                <w:szCs w:val="24"/>
                <w:color w:val="auto"/>
              </w:rPr>
            </w:pPr>
          </w:p>
        </w:tc>
        <w:tc>
          <w:tcPr>
            <w:tcW w:w="3100" w:type="dxa"/>
            <w:vAlign w:val="bottom"/>
            <w:shd w:val="clear" w:color="auto" w:fill="C43776"/>
          </w:tcPr>
          <w:p>
            <w:pPr>
              <w:spacing w:after="0"/>
              <w:rPr>
                <w:sz w:val="24"/>
                <w:szCs w:val="24"/>
                <w:color w:val="auto"/>
              </w:rPr>
            </w:pPr>
          </w:p>
        </w:tc>
        <w:tc>
          <w:tcPr>
            <w:tcW w:w="100" w:type="dxa"/>
            <w:vAlign w:val="bottom"/>
            <w:shd w:val="clear" w:color="auto" w:fill="C43776"/>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shd w:val="clear" w:color="auto" w:fill="C43776"/>
          </w:tcPr>
          <w:p>
            <w:pPr>
              <w:spacing w:after="0"/>
              <w:rPr>
                <w:sz w:val="16"/>
                <w:szCs w:val="16"/>
                <w:color w:val="auto"/>
              </w:rPr>
            </w:pPr>
          </w:p>
        </w:tc>
        <w:tc>
          <w:tcPr>
            <w:tcW w:w="5360" w:type="dxa"/>
            <w:vAlign w:val="bottom"/>
            <w:shd w:val="clear" w:color="auto" w:fill="C43776"/>
          </w:tcPr>
          <w:p>
            <w:pPr>
              <w:ind w:left="60"/>
              <w:spacing w:after="0"/>
              <w:rPr>
                <w:sz w:val="20"/>
                <w:szCs w:val="20"/>
                <w:color w:val="auto"/>
              </w:rPr>
            </w:pPr>
            <w:r>
              <w:rPr>
                <w:rFonts w:ascii="Arial" w:cs="Arial" w:eastAsia="Arial" w:hAnsi="Arial"/>
                <w:sz w:val="14"/>
                <w:szCs w:val="14"/>
                <w:b w:val="1"/>
                <w:bCs w:val="1"/>
                <w:color w:val="FFFFFF"/>
              </w:rPr>
              <w:t>Summary Compensation Table Total:</w:t>
            </w:r>
          </w:p>
        </w:tc>
        <w:tc>
          <w:tcPr>
            <w:tcW w:w="3200" w:type="dxa"/>
            <w:vAlign w:val="bottom"/>
            <w:gridSpan w:val="2"/>
            <w:shd w:val="clear" w:color="auto" w:fill="C43776"/>
          </w:tcPr>
          <w:p>
            <w:pPr>
              <w:jc w:val="right"/>
              <w:spacing w:after="0"/>
              <w:rPr>
                <w:sz w:val="20"/>
                <w:szCs w:val="20"/>
                <w:color w:val="auto"/>
              </w:rPr>
            </w:pPr>
            <w:r>
              <w:rPr>
                <w:rFonts w:ascii="Arial" w:cs="Arial" w:eastAsia="Arial" w:hAnsi="Arial"/>
                <w:sz w:val="14"/>
                <w:szCs w:val="14"/>
                <w:b w:val="1"/>
                <w:bCs w:val="1"/>
                <w:color w:val="FFFFFF"/>
              </w:rPr>
              <w:t>$5,022,245</w:t>
            </w:r>
          </w:p>
        </w:tc>
        <w:tc>
          <w:tcPr>
            <w:tcW w:w="100" w:type="dxa"/>
            <w:vAlign w:val="bottom"/>
            <w:shd w:val="clear" w:color="auto" w:fill="C4377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C43776"/>
          </w:tcPr>
          <w:p>
            <w:pPr>
              <w:spacing w:after="0"/>
              <w:rPr>
                <w:sz w:val="8"/>
                <w:szCs w:val="8"/>
                <w:color w:val="auto"/>
              </w:rPr>
            </w:pPr>
          </w:p>
        </w:tc>
        <w:tc>
          <w:tcPr>
            <w:tcW w:w="5360" w:type="dxa"/>
            <w:vAlign w:val="bottom"/>
            <w:shd w:val="clear" w:color="auto" w:fill="C43776"/>
          </w:tcPr>
          <w:p>
            <w:pPr>
              <w:spacing w:after="0"/>
              <w:rPr>
                <w:sz w:val="8"/>
                <w:szCs w:val="8"/>
                <w:color w:val="auto"/>
              </w:rPr>
            </w:pPr>
          </w:p>
        </w:tc>
        <w:tc>
          <w:tcPr>
            <w:tcW w:w="3200" w:type="dxa"/>
            <w:vAlign w:val="bottom"/>
            <w:gridSpan w:val="2"/>
            <w:shd w:val="clear" w:color="auto" w:fill="C43776"/>
          </w:tcPr>
          <w:p>
            <w:pPr>
              <w:spacing w:after="0"/>
              <w:rPr>
                <w:sz w:val="8"/>
                <w:szCs w:val="8"/>
                <w:color w:val="auto"/>
              </w:rPr>
            </w:pPr>
          </w:p>
        </w:tc>
        <w:tc>
          <w:tcPr>
            <w:tcW w:w="10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SCT “Stock Awards” and "Option Awards" columns value</w:t>
            </w:r>
          </w:p>
        </w:tc>
        <w:tc>
          <w:tcPr>
            <w:tcW w:w="3200" w:type="dxa"/>
            <w:vAlign w:val="bottom"/>
            <w:gridSpan w:val="2"/>
          </w:tcPr>
          <w:p>
            <w:pPr>
              <w:jc w:val="right"/>
              <w:spacing w:after="0"/>
              <w:rPr>
                <w:sz w:val="20"/>
                <w:szCs w:val="20"/>
                <w:color w:val="auto"/>
              </w:rPr>
            </w:pPr>
            <w:r>
              <w:rPr>
                <w:rFonts w:ascii="Arial" w:cs="Arial" w:eastAsia="Arial" w:hAnsi="Arial"/>
                <w:sz w:val="14"/>
                <w:szCs w:val="14"/>
                <w:color w:val="auto"/>
              </w:rPr>
              <w:t>($4,422,049)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80" w:type="dxa"/>
            <w:vAlign w:val="bottom"/>
            <w:shd w:val="clear" w:color="auto" w:fill="F1F2F2"/>
          </w:tcPr>
          <w:p>
            <w:pPr>
              <w:spacing w:after="0"/>
              <w:rPr>
                <w:sz w:val="21"/>
                <w:szCs w:val="21"/>
                <w:color w:val="auto"/>
              </w:rPr>
            </w:pPr>
          </w:p>
        </w:tc>
        <w:tc>
          <w:tcPr>
            <w:tcW w:w="5360" w:type="dxa"/>
            <w:vAlign w:val="bottom"/>
            <w:shd w:val="clear" w:color="auto" w:fill="F1F2F2"/>
          </w:tcPr>
          <w:p>
            <w:pPr>
              <w:ind w:left="60"/>
              <w:spacing w:after="0"/>
              <w:rPr>
                <w:sz w:val="20"/>
                <w:szCs w:val="20"/>
                <w:color w:val="auto"/>
              </w:rPr>
            </w:pPr>
            <w:r>
              <w:rPr>
                <w:rFonts w:ascii="Arial" w:cs="Arial" w:eastAsia="Arial" w:hAnsi="Arial"/>
                <w:sz w:val="14"/>
                <w:szCs w:val="14"/>
                <w:color w:val="auto"/>
              </w:rPr>
              <w:t>+ year-end fair value of outstanding equity awards granted in Covered Year that</w:t>
            </w:r>
          </w:p>
        </w:tc>
        <w:tc>
          <w:tcPr>
            <w:tcW w:w="3200" w:type="dxa"/>
            <w:vAlign w:val="bottom"/>
            <w:gridSpan w:val="2"/>
            <w:vMerge w:val="restart"/>
            <w:shd w:val="clear" w:color="auto" w:fill="F1F2F2"/>
          </w:tcPr>
          <w:p>
            <w:pPr>
              <w:jc w:val="right"/>
              <w:spacing w:after="0"/>
              <w:rPr>
                <w:sz w:val="20"/>
                <w:szCs w:val="20"/>
                <w:color w:val="auto"/>
              </w:rPr>
            </w:pPr>
            <w:r>
              <w:rPr>
                <w:rFonts w:ascii="Arial" w:cs="Arial" w:eastAsia="Arial" w:hAnsi="Arial"/>
                <w:sz w:val="14"/>
                <w:szCs w:val="14"/>
                <w:color w:val="auto"/>
              </w:rPr>
              <w:t>$3,380,202</w:t>
            </w:r>
          </w:p>
        </w:tc>
        <w:tc>
          <w:tcPr>
            <w:tcW w:w="100" w:type="dxa"/>
            <w:vAlign w:val="bottom"/>
            <w:shd w:val="clear" w:color="auto" w:fill="F1F2F2"/>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80" w:type="dxa"/>
            <w:vAlign w:val="bottom"/>
            <w:shd w:val="clear" w:color="auto" w:fill="F1F2F2"/>
          </w:tcPr>
          <w:p>
            <w:pPr>
              <w:spacing w:after="0"/>
              <w:rPr>
                <w:sz w:val="9"/>
                <w:szCs w:val="9"/>
                <w:color w:val="auto"/>
              </w:rPr>
            </w:pPr>
          </w:p>
        </w:tc>
        <w:tc>
          <w:tcPr>
            <w:tcW w:w="5360" w:type="dxa"/>
            <w:vAlign w:val="bottom"/>
            <w:vMerge w:val="restart"/>
            <w:shd w:val="clear" w:color="auto" w:fill="F1F2F2"/>
          </w:tcPr>
          <w:p>
            <w:pPr>
              <w:ind w:left="60"/>
              <w:spacing w:after="0"/>
              <w:rPr>
                <w:sz w:val="20"/>
                <w:szCs w:val="20"/>
                <w:color w:val="auto"/>
              </w:rPr>
            </w:pPr>
            <w:r>
              <w:rPr>
                <w:rFonts w:ascii="Arial" w:cs="Arial" w:eastAsia="Arial" w:hAnsi="Arial"/>
                <w:sz w:val="14"/>
                <w:szCs w:val="14"/>
                <w:color w:val="auto"/>
              </w:rPr>
              <w:t>were outstanding as of Covered Year-end</w:t>
            </w:r>
          </w:p>
        </w:tc>
        <w:tc>
          <w:tcPr>
            <w:tcW w:w="3200" w:type="dxa"/>
            <w:vAlign w:val="bottom"/>
            <w:gridSpan w:val="2"/>
            <w:vMerge w:val="continue"/>
            <w:shd w:val="clear" w:color="auto" w:fill="F1F2F2"/>
          </w:tcPr>
          <w:p>
            <w:pPr>
              <w:spacing w:after="0"/>
              <w:rPr>
                <w:sz w:val="9"/>
                <w:szCs w:val="9"/>
                <w:color w:val="auto"/>
              </w:rPr>
            </w:pPr>
          </w:p>
        </w:tc>
        <w:tc>
          <w:tcPr>
            <w:tcW w:w="10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F1F2F2"/>
          </w:tcPr>
          <w:p>
            <w:pPr>
              <w:spacing w:after="0"/>
              <w:rPr>
                <w:sz w:val="7"/>
                <w:szCs w:val="7"/>
                <w:color w:val="auto"/>
              </w:rPr>
            </w:pPr>
          </w:p>
        </w:tc>
        <w:tc>
          <w:tcPr>
            <w:tcW w:w="536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310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F1F2F2"/>
          </w:tcPr>
          <w:p>
            <w:pPr>
              <w:spacing w:after="0"/>
              <w:rPr>
                <w:sz w:val="5"/>
                <w:szCs w:val="5"/>
                <w:color w:val="auto"/>
              </w:rPr>
            </w:pPr>
          </w:p>
        </w:tc>
        <w:tc>
          <w:tcPr>
            <w:tcW w:w="5360" w:type="dxa"/>
            <w:vAlign w:val="bottom"/>
            <w:shd w:val="clear" w:color="auto" w:fill="F1F2F2"/>
          </w:tcPr>
          <w:p>
            <w:pPr>
              <w:spacing w:after="0"/>
              <w:rPr>
                <w:sz w:val="5"/>
                <w:szCs w:val="5"/>
                <w:color w:val="auto"/>
              </w:rPr>
            </w:pPr>
          </w:p>
        </w:tc>
        <w:tc>
          <w:tcPr>
            <w:tcW w:w="100" w:type="dxa"/>
            <w:vAlign w:val="bottom"/>
            <w:shd w:val="clear" w:color="auto" w:fill="F1F2F2"/>
          </w:tcPr>
          <w:p>
            <w:pPr>
              <w:spacing w:after="0"/>
              <w:rPr>
                <w:sz w:val="5"/>
                <w:szCs w:val="5"/>
                <w:color w:val="auto"/>
              </w:rPr>
            </w:pPr>
          </w:p>
        </w:tc>
        <w:tc>
          <w:tcPr>
            <w:tcW w:w="3100" w:type="dxa"/>
            <w:vAlign w:val="bottom"/>
            <w:shd w:val="clear" w:color="auto" w:fill="F1F2F2"/>
          </w:tcPr>
          <w:p>
            <w:pPr>
              <w:spacing w:after="0"/>
              <w:rPr>
                <w:sz w:val="5"/>
                <w:szCs w:val="5"/>
                <w:color w:val="auto"/>
              </w:rPr>
            </w:pPr>
          </w:p>
        </w:tc>
        <w:tc>
          <w:tcPr>
            <w:tcW w:w="10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change in fair value (from prior year-end to Covered Year-end) of outstanding</w:t>
            </w:r>
          </w:p>
        </w:tc>
        <w:tc>
          <w:tcPr>
            <w:tcW w:w="3200" w:type="dxa"/>
            <w:vAlign w:val="bottom"/>
            <w:gridSpan w:val="2"/>
            <w:vMerge w:val="restart"/>
          </w:tcPr>
          <w:p>
            <w:pPr>
              <w:jc w:val="right"/>
              <w:spacing w:after="0"/>
              <w:rPr>
                <w:sz w:val="20"/>
                <w:szCs w:val="20"/>
                <w:color w:val="auto"/>
              </w:rPr>
            </w:pPr>
            <w:r>
              <w:rPr>
                <w:rFonts w:ascii="Arial" w:cs="Arial" w:eastAsia="Arial" w:hAnsi="Arial"/>
                <w:sz w:val="14"/>
                <w:szCs w:val="14"/>
                <w:color w:val="auto"/>
              </w:rPr>
              <w:t>($534,395)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5360" w:type="dxa"/>
            <w:vAlign w:val="bottom"/>
            <w:vMerge w:val="restart"/>
          </w:tcPr>
          <w:p>
            <w:pPr>
              <w:ind w:left="60"/>
              <w:spacing w:after="0"/>
              <w:rPr>
                <w:sz w:val="20"/>
                <w:szCs w:val="20"/>
                <w:color w:val="auto"/>
              </w:rPr>
            </w:pPr>
            <w:r>
              <w:rPr>
                <w:rFonts w:ascii="Arial" w:cs="Arial" w:eastAsia="Arial" w:hAnsi="Arial"/>
                <w:sz w:val="14"/>
                <w:szCs w:val="14"/>
                <w:color w:val="auto"/>
              </w:rPr>
              <w:t>equity awards granted in prior years that were outstanding as of Covered Year-end</w:t>
            </w:r>
          </w:p>
        </w:tc>
        <w:tc>
          <w:tcPr>
            <w:tcW w:w="3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5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32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80" w:type="dxa"/>
            <w:vAlign w:val="bottom"/>
            <w:shd w:val="clear" w:color="auto" w:fill="F1F2F2"/>
          </w:tcPr>
          <w:p>
            <w:pPr>
              <w:spacing w:after="0"/>
              <w:rPr>
                <w:sz w:val="22"/>
                <w:szCs w:val="22"/>
                <w:color w:val="auto"/>
              </w:rPr>
            </w:pPr>
          </w:p>
        </w:tc>
        <w:tc>
          <w:tcPr>
            <w:tcW w:w="5360" w:type="dxa"/>
            <w:vAlign w:val="bottom"/>
            <w:shd w:val="clear" w:color="auto" w:fill="F1F2F2"/>
          </w:tcPr>
          <w:p>
            <w:pPr>
              <w:ind w:left="60"/>
              <w:spacing w:after="0"/>
              <w:rPr>
                <w:sz w:val="20"/>
                <w:szCs w:val="20"/>
                <w:color w:val="auto"/>
              </w:rPr>
            </w:pPr>
            <w:r>
              <w:rPr>
                <w:rFonts w:ascii="Arial" w:cs="Arial" w:eastAsia="Arial" w:hAnsi="Arial"/>
                <w:sz w:val="14"/>
                <w:szCs w:val="14"/>
                <w:color w:val="auto"/>
              </w:rPr>
              <w:t>+ vesting date fair value of equity awards granted and vested in Covered Year</w:t>
            </w:r>
          </w:p>
        </w:tc>
        <w:tc>
          <w:tcPr>
            <w:tcW w:w="3200" w:type="dxa"/>
            <w:vAlign w:val="bottom"/>
            <w:gridSpan w:val="2"/>
            <w:shd w:val="clear" w:color="auto" w:fill="F1F2F2"/>
          </w:tcPr>
          <w:p>
            <w:pPr>
              <w:jc w:val="right"/>
              <w:spacing w:after="0"/>
              <w:rPr>
                <w:sz w:val="20"/>
                <w:szCs w:val="20"/>
                <w:color w:val="auto"/>
              </w:rPr>
            </w:pPr>
            <w:r>
              <w:rPr>
                <w:rFonts w:ascii="Arial" w:cs="Arial" w:eastAsia="Arial" w:hAnsi="Arial"/>
                <w:sz w:val="14"/>
                <w:szCs w:val="14"/>
                <w:color w:val="auto"/>
              </w:rPr>
              <w:t>$368,079</w:t>
            </w:r>
          </w:p>
        </w:tc>
        <w:tc>
          <w:tcPr>
            <w:tcW w:w="10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F1F2F2"/>
          </w:tcPr>
          <w:p>
            <w:pPr>
              <w:spacing w:after="0"/>
              <w:rPr>
                <w:sz w:val="5"/>
                <w:szCs w:val="5"/>
                <w:color w:val="auto"/>
              </w:rPr>
            </w:pPr>
          </w:p>
        </w:tc>
        <w:tc>
          <w:tcPr>
            <w:tcW w:w="5360" w:type="dxa"/>
            <w:vAlign w:val="bottom"/>
            <w:shd w:val="clear" w:color="auto" w:fill="F1F2F2"/>
          </w:tcPr>
          <w:p>
            <w:pPr>
              <w:spacing w:after="0"/>
              <w:rPr>
                <w:sz w:val="5"/>
                <w:szCs w:val="5"/>
                <w:color w:val="auto"/>
              </w:rPr>
            </w:pPr>
          </w:p>
        </w:tc>
        <w:tc>
          <w:tcPr>
            <w:tcW w:w="100" w:type="dxa"/>
            <w:vAlign w:val="bottom"/>
            <w:shd w:val="clear" w:color="auto" w:fill="F1F2F2"/>
          </w:tcPr>
          <w:p>
            <w:pPr>
              <w:spacing w:after="0"/>
              <w:rPr>
                <w:sz w:val="5"/>
                <w:szCs w:val="5"/>
                <w:color w:val="auto"/>
              </w:rPr>
            </w:pPr>
          </w:p>
        </w:tc>
        <w:tc>
          <w:tcPr>
            <w:tcW w:w="3100" w:type="dxa"/>
            <w:vAlign w:val="bottom"/>
            <w:shd w:val="clear" w:color="auto" w:fill="F1F2F2"/>
          </w:tcPr>
          <w:p>
            <w:pPr>
              <w:spacing w:after="0"/>
              <w:rPr>
                <w:sz w:val="5"/>
                <w:szCs w:val="5"/>
                <w:color w:val="auto"/>
              </w:rPr>
            </w:pPr>
          </w:p>
        </w:tc>
        <w:tc>
          <w:tcPr>
            <w:tcW w:w="10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change in fair value (from prior year-end to vesting date) of prior-year equity</w:t>
            </w:r>
          </w:p>
        </w:tc>
        <w:tc>
          <w:tcPr>
            <w:tcW w:w="3200" w:type="dxa"/>
            <w:vAlign w:val="bottom"/>
            <w:gridSpan w:val="2"/>
            <w:vMerge w:val="restart"/>
          </w:tcPr>
          <w:p>
            <w:pPr>
              <w:jc w:val="right"/>
              <w:spacing w:after="0"/>
              <w:rPr>
                <w:sz w:val="20"/>
                <w:szCs w:val="20"/>
                <w:color w:val="auto"/>
              </w:rPr>
            </w:pPr>
            <w:r>
              <w:rPr>
                <w:rFonts w:ascii="Arial" w:cs="Arial" w:eastAsia="Arial" w:hAnsi="Arial"/>
                <w:sz w:val="14"/>
                <w:szCs w:val="14"/>
                <w:color w:val="auto"/>
              </w:rPr>
              <w:t>$746,611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5360" w:type="dxa"/>
            <w:vAlign w:val="bottom"/>
            <w:vMerge w:val="restart"/>
          </w:tcPr>
          <w:p>
            <w:pPr>
              <w:ind w:left="60"/>
              <w:spacing w:after="0"/>
              <w:rPr>
                <w:sz w:val="20"/>
                <w:szCs w:val="20"/>
                <w:color w:val="auto"/>
              </w:rPr>
            </w:pPr>
            <w:r>
              <w:rPr>
                <w:rFonts w:ascii="Arial" w:cs="Arial" w:eastAsia="Arial" w:hAnsi="Arial"/>
                <w:sz w:val="14"/>
                <w:szCs w:val="14"/>
                <w:color w:val="auto"/>
              </w:rPr>
              <w:t>awards vested in Covered Year</w:t>
            </w:r>
          </w:p>
        </w:tc>
        <w:tc>
          <w:tcPr>
            <w:tcW w:w="3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5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F1F2F2"/>
          </w:tcPr>
          <w:p>
            <w:pPr>
              <w:spacing w:after="0"/>
              <w:rPr>
                <w:sz w:val="19"/>
                <w:szCs w:val="19"/>
                <w:color w:val="auto"/>
              </w:rPr>
            </w:pPr>
          </w:p>
        </w:tc>
        <w:tc>
          <w:tcPr>
            <w:tcW w:w="5360" w:type="dxa"/>
            <w:vAlign w:val="bottom"/>
            <w:shd w:val="clear" w:color="auto" w:fill="F1F2F2"/>
          </w:tcPr>
          <w:p>
            <w:pPr>
              <w:ind w:left="60"/>
              <w:spacing w:after="0"/>
              <w:rPr>
                <w:sz w:val="20"/>
                <w:szCs w:val="20"/>
                <w:color w:val="auto"/>
              </w:rPr>
            </w:pPr>
            <w:r>
              <w:rPr>
                <w:rFonts w:ascii="Arial" w:cs="Arial" w:eastAsia="Arial" w:hAnsi="Arial"/>
                <w:sz w:val="14"/>
                <w:szCs w:val="14"/>
                <w:color w:val="auto"/>
              </w:rPr>
              <w:t>- fair value as of prior fiscal year-end of stock awards and option awards granted in</w:t>
            </w:r>
          </w:p>
        </w:tc>
        <w:tc>
          <w:tcPr>
            <w:tcW w:w="3200" w:type="dxa"/>
            <w:vAlign w:val="bottom"/>
            <w:gridSpan w:val="2"/>
            <w:vMerge w:val="restart"/>
            <w:shd w:val="clear" w:color="auto" w:fill="F1F2F2"/>
          </w:tcPr>
          <w:p>
            <w:pPr>
              <w:jc w:val="right"/>
              <w:spacing w:after="0"/>
              <w:rPr>
                <w:sz w:val="20"/>
                <w:szCs w:val="20"/>
                <w:color w:val="auto"/>
              </w:rPr>
            </w:pPr>
            <w:r>
              <w:rPr>
                <w:rFonts w:ascii="Arial" w:cs="Arial" w:eastAsia="Arial" w:hAnsi="Arial"/>
                <w:sz w:val="14"/>
                <w:szCs w:val="14"/>
                <w:color w:val="auto"/>
              </w:rPr>
              <w:t>(1,082,873)</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0" w:type="dxa"/>
            <w:vAlign w:val="bottom"/>
            <w:shd w:val="clear" w:color="auto" w:fill="F1F2F2"/>
          </w:tcPr>
          <w:p>
            <w:pPr>
              <w:spacing w:after="0"/>
              <w:rPr>
                <w:sz w:val="8"/>
                <w:szCs w:val="8"/>
                <w:color w:val="auto"/>
              </w:rPr>
            </w:pPr>
          </w:p>
        </w:tc>
        <w:tc>
          <w:tcPr>
            <w:tcW w:w="5360" w:type="dxa"/>
            <w:vAlign w:val="bottom"/>
            <w:vMerge w:val="restart"/>
            <w:shd w:val="clear" w:color="auto" w:fill="F1F2F2"/>
          </w:tcPr>
          <w:p>
            <w:pPr>
              <w:ind w:left="60"/>
              <w:spacing w:after="0"/>
              <w:rPr>
                <w:sz w:val="20"/>
                <w:szCs w:val="20"/>
                <w:color w:val="auto"/>
              </w:rPr>
            </w:pPr>
            <w:r>
              <w:rPr>
                <w:rFonts w:ascii="Arial" w:cs="Arial" w:eastAsia="Arial" w:hAnsi="Arial"/>
                <w:sz w:val="14"/>
                <w:szCs w:val="14"/>
                <w:color w:val="auto"/>
              </w:rPr>
              <w:t>prior fiscal years that failed to meet applicable vesting conditions during fiscal year</w:t>
            </w:r>
          </w:p>
        </w:tc>
        <w:tc>
          <w:tcPr>
            <w:tcW w:w="3200" w:type="dxa"/>
            <w:vAlign w:val="bottom"/>
            <w:gridSpan w:val="2"/>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F1F2F2"/>
            </w:tcBorders>
            <w:shd w:val="clear" w:color="auto" w:fill="F1F2F2"/>
          </w:tcPr>
          <w:p>
            <w:pPr>
              <w:spacing w:after="0"/>
              <w:rPr>
                <w:sz w:val="8"/>
                <w:szCs w:val="8"/>
                <w:color w:val="auto"/>
              </w:rPr>
            </w:pPr>
          </w:p>
        </w:tc>
        <w:tc>
          <w:tcPr>
            <w:tcW w:w="5360" w:type="dxa"/>
            <w:vAlign w:val="bottom"/>
            <w:tcBorders>
              <w:bottom w:val="single" w:sz="8" w:color="F1F2F2"/>
            </w:tcBorders>
            <w:vMerge w:val="continue"/>
            <w:shd w:val="clear" w:color="auto" w:fill="F1F2F2"/>
          </w:tcPr>
          <w:p>
            <w:pPr>
              <w:spacing w:after="0"/>
              <w:rPr>
                <w:sz w:val="8"/>
                <w:szCs w:val="8"/>
                <w:color w:val="auto"/>
              </w:rPr>
            </w:pPr>
          </w:p>
        </w:tc>
        <w:tc>
          <w:tcPr>
            <w:tcW w:w="100" w:type="dxa"/>
            <w:vAlign w:val="bottom"/>
            <w:tcBorders>
              <w:bottom w:val="single" w:sz="8" w:color="F1F2F2"/>
            </w:tcBorders>
            <w:shd w:val="clear" w:color="auto" w:fill="F1F2F2"/>
          </w:tcPr>
          <w:p>
            <w:pPr>
              <w:spacing w:after="0"/>
              <w:rPr>
                <w:sz w:val="8"/>
                <w:szCs w:val="8"/>
                <w:color w:val="auto"/>
              </w:rPr>
            </w:pPr>
          </w:p>
        </w:tc>
        <w:tc>
          <w:tcPr>
            <w:tcW w:w="3100" w:type="dxa"/>
            <w:vAlign w:val="bottom"/>
            <w:tcBorders>
              <w:bottom w:val="single" w:sz="8" w:color="F1F2F2"/>
            </w:tcBorders>
            <w:shd w:val="clear" w:color="auto" w:fill="F1F2F2"/>
          </w:tcPr>
          <w:p>
            <w:pPr>
              <w:spacing w:after="0"/>
              <w:rPr>
                <w:sz w:val="8"/>
                <w:szCs w:val="8"/>
                <w:color w:val="auto"/>
              </w:rPr>
            </w:pPr>
          </w:p>
        </w:tc>
        <w:tc>
          <w:tcPr>
            <w:tcW w:w="100" w:type="dxa"/>
            <w:vAlign w:val="bottom"/>
            <w:tcBorders>
              <w:bottom w:val="single" w:sz="8" w:color="F1F2F2"/>
            </w:tcBorders>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5360" w:type="dxa"/>
            <w:vAlign w:val="bottom"/>
          </w:tcPr>
          <w:p>
            <w:pPr>
              <w:ind w:left="60"/>
              <w:spacing w:after="0"/>
              <w:rPr>
                <w:sz w:val="20"/>
                <w:szCs w:val="20"/>
                <w:color w:val="auto"/>
              </w:rPr>
            </w:pPr>
            <w:r>
              <w:rPr>
                <w:rFonts w:ascii="Arial" w:cs="Arial" w:eastAsia="Arial" w:hAnsi="Arial"/>
                <w:sz w:val="14"/>
                <w:szCs w:val="14"/>
                <w:color w:val="auto"/>
              </w:rPr>
              <w:t>- prior year-end fair value of prior-year equity awards forfeited in Covered Year</w:t>
            </w:r>
          </w:p>
        </w:tc>
        <w:tc>
          <w:tcPr>
            <w:tcW w:w="100" w:type="dxa"/>
            <w:vAlign w:val="bottom"/>
          </w:tcPr>
          <w:p>
            <w:pPr>
              <w:spacing w:after="0"/>
              <w:rPr>
                <w:sz w:val="22"/>
                <w:szCs w:val="22"/>
                <w:color w:val="auto"/>
              </w:rPr>
            </w:pPr>
          </w:p>
        </w:tc>
        <w:tc>
          <w:tcPr>
            <w:tcW w:w="3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80" w:type="dxa"/>
            <w:vAlign w:val="bottom"/>
            <w:shd w:val="clear" w:color="auto" w:fill="F1F2F2"/>
          </w:tcPr>
          <w:p>
            <w:pPr>
              <w:spacing w:after="0"/>
              <w:rPr>
                <w:sz w:val="22"/>
                <w:szCs w:val="22"/>
                <w:color w:val="auto"/>
              </w:rPr>
            </w:pPr>
          </w:p>
        </w:tc>
        <w:tc>
          <w:tcPr>
            <w:tcW w:w="5360" w:type="dxa"/>
            <w:vAlign w:val="bottom"/>
            <w:shd w:val="clear" w:color="auto" w:fill="F1F2F2"/>
          </w:tcPr>
          <w:p>
            <w:pPr>
              <w:ind w:left="60"/>
              <w:spacing w:after="0"/>
              <w:rPr>
                <w:sz w:val="20"/>
                <w:szCs w:val="20"/>
                <w:color w:val="auto"/>
              </w:rPr>
            </w:pPr>
            <w:r>
              <w:rPr>
                <w:rFonts w:ascii="Arial" w:cs="Arial" w:eastAsia="Arial" w:hAnsi="Arial"/>
                <w:sz w:val="14"/>
                <w:szCs w:val="14"/>
                <w:color w:val="auto"/>
              </w:rPr>
              <w:t>+ includable dividends/earnings on equity awards during Covered Year</w:t>
            </w:r>
          </w:p>
        </w:tc>
        <w:tc>
          <w:tcPr>
            <w:tcW w:w="100" w:type="dxa"/>
            <w:vAlign w:val="bottom"/>
            <w:shd w:val="clear" w:color="auto" w:fill="F1F2F2"/>
          </w:tcPr>
          <w:p>
            <w:pPr>
              <w:spacing w:after="0"/>
              <w:rPr>
                <w:sz w:val="22"/>
                <w:szCs w:val="22"/>
                <w:color w:val="auto"/>
              </w:rPr>
            </w:pPr>
          </w:p>
        </w:tc>
        <w:tc>
          <w:tcPr>
            <w:tcW w:w="3200" w:type="dxa"/>
            <w:vAlign w:val="bottom"/>
            <w:gridSpan w:val="2"/>
            <w:shd w:val="clear" w:color="auto" w:fill="F1F2F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0" w:type="dxa"/>
            <w:vAlign w:val="bottom"/>
            <w:shd w:val="clear" w:color="auto" w:fill="F1F2F2"/>
          </w:tcPr>
          <w:p>
            <w:pPr>
              <w:spacing w:after="0"/>
              <w:rPr>
                <w:sz w:val="5"/>
                <w:szCs w:val="5"/>
                <w:color w:val="auto"/>
              </w:rPr>
            </w:pPr>
          </w:p>
        </w:tc>
        <w:tc>
          <w:tcPr>
            <w:tcW w:w="5360" w:type="dxa"/>
            <w:vAlign w:val="bottom"/>
            <w:shd w:val="clear" w:color="auto" w:fill="F1F2F2"/>
          </w:tcPr>
          <w:p>
            <w:pPr>
              <w:spacing w:after="0"/>
              <w:rPr>
                <w:sz w:val="5"/>
                <w:szCs w:val="5"/>
                <w:color w:val="auto"/>
              </w:rPr>
            </w:pPr>
          </w:p>
        </w:tc>
        <w:tc>
          <w:tcPr>
            <w:tcW w:w="3200" w:type="dxa"/>
            <w:vAlign w:val="bottom"/>
            <w:gridSpan w:val="2"/>
            <w:shd w:val="clear" w:color="auto" w:fill="F1F2F2"/>
          </w:tcPr>
          <w:p>
            <w:pPr>
              <w:spacing w:after="0"/>
              <w:rPr>
                <w:sz w:val="5"/>
                <w:szCs w:val="5"/>
                <w:color w:val="auto"/>
              </w:rPr>
            </w:pPr>
          </w:p>
        </w:tc>
        <w:tc>
          <w:tcPr>
            <w:tcW w:w="10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80" w:type="dxa"/>
            <w:vAlign w:val="bottom"/>
            <w:shd w:val="clear" w:color="auto" w:fill="582D43"/>
          </w:tcPr>
          <w:p>
            <w:pPr>
              <w:spacing w:after="0"/>
              <w:rPr>
                <w:sz w:val="23"/>
                <w:szCs w:val="23"/>
                <w:color w:val="auto"/>
              </w:rPr>
            </w:pPr>
          </w:p>
        </w:tc>
        <w:tc>
          <w:tcPr>
            <w:tcW w:w="5360" w:type="dxa"/>
            <w:vAlign w:val="bottom"/>
            <w:shd w:val="clear" w:color="auto" w:fill="582D43"/>
          </w:tcPr>
          <w:p>
            <w:pPr>
              <w:ind w:left="60"/>
              <w:spacing w:after="0"/>
              <w:rPr>
                <w:sz w:val="20"/>
                <w:szCs w:val="20"/>
                <w:color w:val="auto"/>
              </w:rPr>
            </w:pPr>
            <w:r>
              <w:rPr>
                <w:rFonts w:ascii="Arial" w:cs="Arial" w:eastAsia="Arial" w:hAnsi="Arial"/>
                <w:sz w:val="14"/>
                <w:szCs w:val="14"/>
                <w:b w:val="1"/>
                <w:bCs w:val="1"/>
                <w:color w:val="FFFFFF"/>
              </w:rPr>
              <w:t>Compensation Actually Paid:</w:t>
            </w:r>
          </w:p>
        </w:tc>
        <w:tc>
          <w:tcPr>
            <w:tcW w:w="3200" w:type="dxa"/>
            <w:vAlign w:val="bottom"/>
            <w:gridSpan w:val="2"/>
            <w:shd w:val="clear" w:color="auto" w:fill="582D43"/>
          </w:tcPr>
          <w:p>
            <w:pPr>
              <w:jc w:val="right"/>
              <w:spacing w:after="0"/>
              <w:rPr>
                <w:sz w:val="20"/>
                <w:szCs w:val="20"/>
                <w:color w:val="auto"/>
              </w:rPr>
            </w:pPr>
            <w:r>
              <w:rPr>
                <w:rFonts w:ascii="Arial" w:cs="Arial" w:eastAsia="Arial" w:hAnsi="Arial"/>
                <w:sz w:val="14"/>
                <w:szCs w:val="14"/>
                <w:b w:val="1"/>
                <w:bCs w:val="1"/>
                <w:color w:val="FFFFFF"/>
              </w:rPr>
              <w:t>$3,477,820</w:t>
            </w:r>
          </w:p>
        </w:tc>
        <w:tc>
          <w:tcPr>
            <w:tcW w:w="100" w:type="dxa"/>
            <w:vAlign w:val="bottom"/>
            <w:shd w:val="clear" w:color="auto" w:fill="582D43"/>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80" w:type="dxa"/>
            <w:vAlign w:val="bottom"/>
            <w:shd w:val="clear" w:color="auto" w:fill="582D43"/>
          </w:tcPr>
          <w:p>
            <w:pPr>
              <w:spacing w:after="0"/>
              <w:rPr>
                <w:sz w:val="4"/>
                <w:szCs w:val="4"/>
                <w:color w:val="auto"/>
              </w:rPr>
            </w:pPr>
          </w:p>
        </w:tc>
        <w:tc>
          <w:tcPr>
            <w:tcW w:w="5360" w:type="dxa"/>
            <w:vAlign w:val="bottom"/>
            <w:shd w:val="clear" w:color="auto" w:fill="582D43"/>
          </w:tcPr>
          <w:p>
            <w:pPr>
              <w:spacing w:after="0"/>
              <w:rPr>
                <w:sz w:val="4"/>
                <w:szCs w:val="4"/>
                <w:color w:val="auto"/>
              </w:rPr>
            </w:pPr>
          </w:p>
        </w:tc>
        <w:tc>
          <w:tcPr>
            <w:tcW w:w="100" w:type="dxa"/>
            <w:vAlign w:val="bottom"/>
            <w:shd w:val="clear" w:color="auto" w:fill="582D43"/>
          </w:tcPr>
          <w:p>
            <w:pPr>
              <w:spacing w:after="0"/>
              <w:rPr>
                <w:sz w:val="4"/>
                <w:szCs w:val="4"/>
                <w:color w:val="auto"/>
              </w:rPr>
            </w:pPr>
          </w:p>
        </w:tc>
        <w:tc>
          <w:tcPr>
            <w:tcW w:w="3100" w:type="dxa"/>
            <w:vAlign w:val="bottom"/>
            <w:shd w:val="clear" w:color="auto" w:fill="582D43"/>
          </w:tcPr>
          <w:p>
            <w:pPr>
              <w:spacing w:after="0"/>
              <w:rPr>
                <w:sz w:val="4"/>
                <w:szCs w:val="4"/>
                <w:color w:val="auto"/>
              </w:rPr>
            </w:pPr>
          </w:p>
        </w:tc>
        <w:tc>
          <w:tcPr>
            <w:tcW w:w="100" w:type="dxa"/>
            <w:vAlign w:val="bottom"/>
            <w:shd w:val="clear" w:color="auto" w:fill="582D43"/>
          </w:tcPr>
          <w:p>
            <w:pPr>
              <w:spacing w:after="0"/>
              <w:rPr>
                <w:sz w:val="4"/>
                <w:szCs w:val="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32" w:right="20" w:hanging="332"/>
        <w:spacing w:after="0" w:line="271" w:lineRule="auto"/>
        <w:tabs>
          <w:tab w:leader="none" w:pos="332" w:val="left"/>
        </w:tabs>
        <w:numPr>
          <w:ilvl w:val="0"/>
          <w:numId w:val="65"/>
        </w:numPr>
        <w:rPr>
          <w:rFonts w:ascii="Arial" w:cs="Arial" w:eastAsia="Arial" w:hAnsi="Arial"/>
          <w:sz w:val="12"/>
          <w:szCs w:val="12"/>
          <w:i w:val="1"/>
          <w:iCs w:val="1"/>
          <w:color w:val="auto"/>
        </w:rPr>
      </w:pPr>
      <w:r>
        <w:rPr>
          <w:rFonts w:ascii="Arial" w:cs="Arial" w:eastAsia="Arial" w:hAnsi="Arial"/>
          <w:sz w:val="12"/>
          <w:szCs w:val="12"/>
          <w:i w:val="1"/>
          <w:iCs w:val="1"/>
          <w:color w:val="auto"/>
        </w:rPr>
        <w:t>For each Covered Year, our TSR was calculated as the yearly percentage change in our cumulative total shareholder return on our common shares, par value $0.001 per share, measured as the quotient of (a) the sum of (i) the cumulative amount of dividends for a period beginning with our closing price on the NYSE on December 31, 2020 through and including the last day of the fiscal year covered (each one-year, two-year, three-year, four-year, and five-year period, the “Measurement Period”), assuming dividend reinvestment, plus (ii) the difference between our closing stock price at the end versus the beginning of the Measurement Period, divided by (b) our closing share price at the beginning of the Measurement Period. Each of these yearly percentage changes was then applied to a deemed fixed investment of $100 at the beginning of the Measurement Period to produce the Covered Year-end values of such investment as of the end of 2025, 2024, 2023, 2022 and 2021, as applicable. Because Covered Years are presented in the table in reverse chronological order (from top to bottom), the table should be read from bottom to top for purposes of understanding cumulative returns over time.</w:t>
      </w:r>
    </w:p>
    <w:p>
      <w:pPr>
        <w:spacing w:after="0" w:line="22" w:lineRule="exact"/>
        <w:rPr>
          <w:rFonts w:ascii="Arial" w:cs="Arial" w:eastAsia="Arial" w:hAnsi="Arial"/>
          <w:sz w:val="12"/>
          <w:szCs w:val="12"/>
          <w:i w:val="1"/>
          <w:iCs w:val="1"/>
          <w:color w:val="auto"/>
        </w:rPr>
      </w:pPr>
    </w:p>
    <w:p>
      <w:pPr>
        <w:ind w:left="332" w:right="40" w:hanging="332"/>
        <w:spacing w:after="0" w:line="229" w:lineRule="auto"/>
        <w:tabs>
          <w:tab w:leader="none" w:pos="332"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For purposes of this pay versus performance disclosure, our peer group is the S&amp;P 500</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xml:space="preserve"> Data Processing &amp; Outsourced Services Sub Industry Index (the “PVP Peer Group”). For each Covered Year, our peer group cumulative total shareholder return was calculated based on a deemed fixed investment of $100 through the Measurement Period, assuming dividend reinvestment, in the PVP Peer Group.</w:t>
      </w:r>
    </w:p>
    <w:p>
      <w:pPr>
        <w:spacing w:after="0" w:line="52" w:lineRule="exact"/>
        <w:rPr>
          <w:rFonts w:ascii="Arial" w:cs="Arial" w:eastAsia="Arial" w:hAnsi="Arial"/>
          <w:sz w:val="13"/>
          <w:szCs w:val="13"/>
          <w:i w:val="1"/>
          <w:iCs w:val="1"/>
          <w:color w:val="auto"/>
        </w:rPr>
      </w:pPr>
    </w:p>
    <w:p>
      <w:pPr>
        <w:ind w:left="332" w:hanging="332"/>
        <w:spacing w:after="0"/>
        <w:tabs>
          <w:tab w:leader="none" w:pos="332"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Net income is calculated in accordance with United States Generally Accepted Accounting Principles.</w:t>
      </w:r>
    </w:p>
    <w:p>
      <w:pPr>
        <w:spacing w:after="0" w:line="53" w:lineRule="exact"/>
        <w:rPr>
          <w:rFonts w:ascii="Arial" w:cs="Arial" w:eastAsia="Arial" w:hAnsi="Arial"/>
          <w:sz w:val="13"/>
          <w:szCs w:val="13"/>
          <w:i w:val="1"/>
          <w:iCs w:val="1"/>
          <w:color w:val="auto"/>
        </w:rPr>
      </w:pPr>
    </w:p>
    <w:p>
      <w:pPr>
        <w:ind w:left="332" w:right="20" w:hanging="332"/>
        <w:spacing w:after="0" w:line="250" w:lineRule="auto"/>
        <w:tabs>
          <w:tab w:leader="none" w:pos="332"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EPS-COMP is Adjusted EPS (or adjusted net income per diluted share), calculated as defined in Appendix A, further adjusted to exclude the impact of (a) the macro-environment (including foreign exchange rates, fuel prices, tax rates, fuel price spreads and interest rate fluctuations), and (b)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52"/>
        <w:spacing w:after="0"/>
        <w:tabs>
          <w:tab w:leader="none" w:pos="8852"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59</w:t>
      </w:r>
    </w:p>
    <w:p>
      <w:pPr>
        <w:sectPr>
          <w:pgSz w:w="11900" w:h="16838" w:orient="portrait"/>
          <w:cols w:equalWidth="0" w:num="1">
            <w:col w:w="9072"/>
          </w:cols>
          <w:pgMar w:left="1408" w:top="729" w:right="1419" w:bottom="1440" w:gutter="0" w:footer="0" w:header="0"/>
        </w:sectPr>
      </w:pPr>
    </w:p>
    <w:bookmarkStart w:id="65" w:name="page66"/>
    <w:bookmarkEnd w:id="65"/>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11. PAY VERSUS PERFORMANCE DISCLOSURE</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9"/>
        <w:spacing w:after="0" w:line="265" w:lineRule="auto"/>
        <w:rPr>
          <w:sz w:val="20"/>
          <w:szCs w:val="20"/>
          <w:color w:val="auto"/>
        </w:rPr>
      </w:pPr>
      <w:r>
        <w:rPr>
          <w:rFonts w:ascii="Arial" w:cs="Arial" w:eastAsia="Arial" w:hAnsi="Arial"/>
          <w:sz w:val="16"/>
          <w:szCs w:val="16"/>
          <w:color w:val="auto"/>
        </w:rPr>
        <w:t>The charts below provide, across the Covered Years, (1) a comparison between our cumulative TSR and the cumulative TSR of the PVP Peer Group, and (2) illustrations of the relationships between (A) the CAP to the PEO and the average CAP to our non-PEO NEOs (in each case as set forth in the PVP Table above) and (B) each of the performance measures set forth in columns (f), (h) and (i) of the PVP Table above.</w:t>
      </w:r>
    </w:p>
    <w:p>
      <w:pPr>
        <w:spacing w:after="0" w:line="132" w:lineRule="exact"/>
        <w:rPr>
          <w:sz w:val="20"/>
          <w:szCs w:val="20"/>
          <w:color w:val="auto"/>
        </w:rPr>
      </w:pPr>
    </w:p>
    <w:p>
      <w:pPr>
        <w:jc w:val="both"/>
        <w:ind w:right="159"/>
        <w:spacing w:after="0" w:line="266" w:lineRule="auto"/>
        <w:rPr>
          <w:sz w:val="20"/>
          <w:szCs w:val="20"/>
          <w:color w:val="auto"/>
        </w:rPr>
      </w:pPr>
      <w:r>
        <w:rPr>
          <w:rFonts w:ascii="Arial" w:cs="Arial" w:eastAsia="Arial" w:hAnsi="Arial"/>
          <w:sz w:val="16"/>
          <w:szCs w:val="16"/>
          <w:color w:val="auto"/>
        </w:rPr>
        <w:t>For a discussion of how our compensation committee assessed “pay-for-performance” and how our executive compensation program is designed to link executive compensation with the achievement of our financial and strategic objectives as well as shareholder value creation each year, see the “Compensation Discussion and Analysis” section in this Proxy Statement.</w:t>
      </w:r>
    </w:p>
    <w:p>
      <w:pPr>
        <w:spacing w:after="0" w:line="131" w:lineRule="exact"/>
        <w:rPr>
          <w:sz w:val="20"/>
          <w:szCs w:val="20"/>
          <w:color w:val="auto"/>
        </w:rPr>
      </w:pPr>
    </w:p>
    <w:p>
      <w:pPr>
        <w:ind w:right="119"/>
        <w:spacing w:after="0" w:line="286" w:lineRule="auto"/>
        <w:rPr>
          <w:sz w:val="20"/>
          <w:szCs w:val="20"/>
          <w:color w:val="auto"/>
        </w:rPr>
      </w:pPr>
      <w:r>
        <w:rPr>
          <w:rFonts w:ascii="Arial" w:cs="Arial" w:eastAsia="Arial" w:hAnsi="Arial"/>
          <w:sz w:val="16"/>
          <w:szCs w:val="16"/>
          <w:color w:val="auto"/>
        </w:rPr>
        <w:t>The table below lists the financial performance measures that we believe represent the most important financial performance measures we used to link CAP to our NEOs for 2025 to our performance:</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FFFFFF"/>
        </w:rPr>
        <w:t>Most Important Financial</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FFFFFF"/>
        </w:rPr>
        <w:t>Performance Measures</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Adjusted EPS-COMP</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GAAP Revenue, as adjusted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Vehicle Payments Sales, as adjusted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color w:val="auto"/>
        </w:rPr>
        <w:t>TSR and Peer TSR vs.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60</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59"/>
          </w:cols>
          <w:pgMar w:left="1400" w:top="729" w:right="1440" w:bottom="1440" w:gutter="0" w:footer="0" w:header="0"/>
        </w:sectPr>
      </w:pPr>
    </w:p>
    <w:bookmarkStart w:id="66" w:name="page67"/>
    <w:bookmarkEnd w:id="66"/>
    <w:p>
      <w:pPr>
        <w:ind w:left="60"/>
        <w:spacing w:after="0"/>
        <w:tabs>
          <w:tab w:leader="none" w:pos="61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11. PAY VERSUS PERFORMANCE DISCLOSURE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auto"/>
        </w:rPr>
        <w:t>Net Income vs.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auto"/>
        </w:rPr>
        <w:t>Adjusted EPS-COMP vs.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19"/>
        <w:spacing w:after="0"/>
        <w:tabs>
          <w:tab w:leader="none" w:pos="14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61</w:t>
      </w:r>
    </w:p>
    <w:p>
      <w:pPr>
        <w:sectPr>
          <w:pgSz w:w="11900" w:h="16838" w:orient="portrait"/>
          <w:cols w:equalWidth="0" w:num="1">
            <w:col w:w="9059"/>
          </w:cols>
          <w:pgMar w:left="1400" w:top="729" w:right="1440" w:bottom="1440" w:gutter="0" w:footer="0" w:header="0"/>
        </w:sectPr>
      </w:pPr>
    </w:p>
    <w:bookmarkStart w:id="67" w:name="page68"/>
    <w:bookmarkEnd w:id="6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right="1319" w:firstLine="8"/>
        <w:spacing w:after="0" w:line="280" w:lineRule="auto"/>
        <w:tabs>
          <w:tab w:leader="none" w:pos="660" w:val="left"/>
        </w:tabs>
        <w:numPr>
          <w:ilvl w:val="0"/>
          <w:numId w:val="66"/>
        </w:numPr>
        <w:rPr>
          <w:rFonts w:ascii="Arial" w:cs="Arial" w:eastAsia="Arial" w:hAnsi="Arial"/>
          <w:sz w:val="40"/>
          <w:szCs w:val="40"/>
          <w:color w:val="auto"/>
        </w:rPr>
      </w:pPr>
      <w:r>
        <w:rPr>
          <w:rFonts w:ascii="Arial" w:cs="Arial" w:eastAsia="Arial" w:hAnsi="Arial"/>
          <w:sz w:val="40"/>
          <w:szCs w:val="40"/>
          <w:color w:val="auto"/>
        </w:rPr>
        <w:t>Certain Relationships and Related-Party Transactions</w:t>
      </w:r>
    </w:p>
    <w:p>
      <w:pPr>
        <w:spacing w:after="0" w:line="281" w:lineRule="exact"/>
        <w:rPr>
          <w:sz w:val="20"/>
          <w:szCs w:val="20"/>
          <w:color w:val="auto"/>
        </w:rPr>
      </w:pPr>
    </w:p>
    <w:p>
      <w:pPr>
        <w:ind w:right="99"/>
        <w:spacing w:after="0" w:line="259" w:lineRule="auto"/>
        <w:rPr>
          <w:sz w:val="20"/>
          <w:szCs w:val="20"/>
          <w:color w:val="auto"/>
        </w:rPr>
      </w:pPr>
      <w:r>
        <w:rPr>
          <w:rFonts w:ascii="Arial" w:cs="Arial" w:eastAsia="Arial" w:hAnsi="Arial"/>
          <w:sz w:val="16"/>
          <w:szCs w:val="16"/>
          <w:color w:val="auto"/>
        </w:rPr>
        <w:t>Our audit committee is responsible for reviewing and approving transactions with the Company involving $120,000 or more in any calendar year, and in which certain related persons have a direct or indirect material interest. A related person is: (1) any of our directors, nominees for director or executive officers, (2) any immediate family member of a director, nominee for director or executive officer, and (3) any person, and his or her immediate family members, or entity that was a beneficial owner of 5% or more of any of our outstanding equity securities at the time the transaction occurred or existed. The policy does not apply to compensation and benefits subject to compensation committee approval, transactions below certain dollar thresholds in which the related party’s interest is indirect and other specified transactions. Our policy is published on our website at https://investor.corpay.com.</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related-party transactions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62</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59"/>
          </w:cols>
          <w:pgMar w:left="1400" w:top="1440" w:right="1440" w:bottom="1440" w:gutter="0" w:footer="0" w:header="0"/>
        </w:sectPr>
      </w:pPr>
    </w:p>
    <w:bookmarkStart w:id="68" w:name="page69"/>
    <w:bookmarkEnd w:id="68"/>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13. Delinquent Section 16(A) Reports</w:t>
      </w:r>
    </w:p>
    <w:p>
      <w:pPr>
        <w:spacing w:after="0" w:line="200" w:lineRule="exact"/>
        <w:rPr>
          <w:sz w:val="20"/>
          <w:szCs w:val="20"/>
          <w:color w:val="auto"/>
        </w:rPr>
      </w:pPr>
    </w:p>
    <w:p>
      <w:pPr>
        <w:spacing w:after="0" w:line="222" w:lineRule="exact"/>
        <w:rPr>
          <w:sz w:val="20"/>
          <w:szCs w:val="20"/>
          <w:color w:val="auto"/>
        </w:rPr>
      </w:pPr>
    </w:p>
    <w:p>
      <w:pPr>
        <w:ind w:right="39"/>
        <w:spacing w:after="0" w:line="259" w:lineRule="auto"/>
        <w:rPr>
          <w:sz w:val="20"/>
          <w:szCs w:val="20"/>
          <w:color w:val="auto"/>
        </w:rPr>
      </w:pPr>
      <w:r>
        <w:rPr>
          <w:rFonts w:ascii="Arial" w:cs="Arial" w:eastAsia="Arial" w:hAnsi="Arial"/>
          <w:sz w:val="16"/>
          <w:szCs w:val="16"/>
          <w:color w:val="auto"/>
        </w:rPr>
        <w:t>Section 16(a) of the Exchange Act of 1934 requires our directors, executive officers, and persons who own more than 10% of our common shares to file reports of their ownership and changes in ownership of our common shares with the SEC. Our employees prepare these reports for our directors and executive officers who request it on the basis of information obtained from them and from our records. Based on information available to us during fiscal year 2025, and representations made to us by the reporting persons, we believe that all reports were made in a timely manner other than one report for each of Ms. Vickery and Messrs. Walker and Stull which reported one transaction, one report for each of Messrs. Panther and Netto which reported two transactions, and one report for Mr. King which reported three transactions, all of which were filed late due to administrative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19"/>
        <w:spacing w:after="0"/>
        <w:tabs>
          <w:tab w:leader="none" w:pos="14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63</w:t>
      </w:r>
    </w:p>
    <w:p>
      <w:pPr>
        <w:sectPr>
          <w:pgSz w:w="11900" w:h="16838" w:orient="portrait"/>
          <w:cols w:equalWidth="0" w:num="1">
            <w:col w:w="9059"/>
          </w:cols>
          <w:pgMar w:left="1400" w:top="1440" w:right="1440" w:bottom="1440" w:gutter="0" w:footer="0" w:header="0"/>
        </w:sectPr>
      </w:pPr>
    </w:p>
    <w:bookmarkStart w:id="69" w:name="page70"/>
    <w:bookmarkEnd w:id="6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14. Five Year Stock Performance Graph</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graph assumes $100 invested on December 31, 2020, at the closing per share price of our common shares on that day</w:t>
      </w:r>
    </w:p>
    <w:p>
      <w:pPr>
        <w:spacing w:after="0" w:line="31" w:lineRule="exact"/>
        <w:rPr>
          <w:sz w:val="20"/>
          <w:szCs w:val="20"/>
          <w:color w:val="auto"/>
        </w:rPr>
      </w:pPr>
    </w:p>
    <w:p>
      <w:pPr>
        <w:ind w:right="19"/>
        <w:spacing w:after="0" w:line="258" w:lineRule="auto"/>
        <w:rPr>
          <w:sz w:val="20"/>
          <w:szCs w:val="20"/>
          <w:color w:val="auto"/>
        </w:rPr>
      </w:pPr>
      <w:r>
        <w:rPr>
          <w:rFonts w:ascii="Arial" w:cs="Arial" w:eastAsia="Arial" w:hAnsi="Arial"/>
          <w:sz w:val="16"/>
          <w:szCs w:val="16"/>
          <w:color w:val="auto"/>
        </w:rPr>
        <w:t>($272.83) through December 31, 2025, and compares (a) the percentage change of our cumulative total shareholder return on the common shares (as measured by dividing (i) the difference between our share price at the end and the beginning of the period presented by (ii) the share price at the beginning of the periods presented) with (b) (i) the Russell 2000 Index, (ii) the S&amp;P 500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Data Processing &amp; Outsourced Services Index and (iii) the S&amp;P 500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64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59"/>
          </w:cols>
          <w:pgMar w:left="1400" w:top="1440" w:right="1440" w:bottom="1440" w:gutter="0" w:footer="0" w:header="0"/>
        </w:sectPr>
      </w:pPr>
    </w:p>
    <w:bookmarkStart w:id="70" w:name="page71"/>
    <w:bookmarkEnd w:id="7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15. Audit Committee Report</w:t>
      </w:r>
    </w:p>
    <w:p>
      <w:pPr>
        <w:spacing w:after="0" w:line="200" w:lineRule="exact"/>
        <w:rPr>
          <w:sz w:val="20"/>
          <w:szCs w:val="20"/>
          <w:color w:val="auto"/>
        </w:rPr>
      </w:pPr>
    </w:p>
    <w:p>
      <w:pPr>
        <w:spacing w:after="0" w:line="222"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Our audit committee operates under a written charter adopted by the Board. It is available on our website at https:// investor.corpay.com under Governance. The audit committee reviews the charter annually.</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Board reviews annually the NYSE’s listing standards definition of independence for audit committee members to determine that each member of the audit committee meets the standards. The Board has determined that Mr. Macchia and Mr. Throop are “audit committee financial experts” as defined by SEC rules.</w:t>
      </w:r>
    </w:p>
    <w:p>
      <w:pPr>
        <w:spacing w:after="0" w:line="11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Board has the ultimate authority for effective corporate governance, including oversight of management. The audit committee assists the Board in fulfilling its responsibilities by overseeing the Company’s accounting and financial reporting processes, the audits of the Company’s consolidated financial statements and internal control over financial reporting, the qualifications and performance of the independent registered public accounting firm engaged as the Company’s independent auditor, and the performance of the Company’s internal audit function.</w:t>
      </w:r>
    </w:p>
    <w:p>
      <w:pPr>
        <w:spacing w:after="0" w:line="118"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audit committee relies on the expertise and knowledge of management, the internal audit function and the independent auditor in carrying out its oversight responsibilities. Management is responsible for the preparation, presentation, and integrity of the Company’s consolidated financial statements, accounting and financial reporting principles, internal control over financial reporting, and disclosure controls and procedures designed to ensure compliance with accounting standards, applicable laws and regulations. Management is responsible for objectively reviewing and evaluating the adequacy, effectiveness and quality of the Company’s system of internal control. Ernst &amp; Young LLP (“EY”), our independent auditor, is responsible for performing an independent audit of the consolidated financial statements and expressing an opinion on the conformity of those financial statements with GAAP. The independent auditor also is responsible for expressing an opinion on the effectiveness of our internal control over financial reporting.</w:t>
      </w:r>
    </w:p>
    <w:p>
      <w:pPr>
        <w:spacing w:after="0" w:line="1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audit committee held seven meetings in 2025. In connection with the audit of our consolidated financial statements for the year ended December 31, 2025, the audit committee, among other actions:</w:t>
      </w:r>
    </w:p>
    <w:p>
      <w:pPr>
        <w:spacing w:after="0" w:line="115" w:lineRule="exact"/>
        <w:rPr>
          <w:sz w:val="20"/>
          <w:szCs w:val="20"/>
          <w:color w:val="auto"/>
        </w:rPr>
      </w:pPr>
    </w:p>
    <w:p>
      <w:pPr>
        <w:ind w:left="340" w:right="140" w:hanging="251"/>
        <w:spacing w:after="0" w:line="281" w:lineRule="auto"/>
        <w:tabs>
          <w:tab w:leader="none" w:pos="340" w:val="left"/>
        </w:tabs>
        <w:numPr>
          <w:ilvl w:val="0"/>
          <w:numId w:val="67"/>
        </w:numPr>
        <w:rPr>
          <w:rFonts w:ascii="Arial" w:cs="Arial" w:eastAsia="Arial" w:hAnsi="Arial"/>
          <w:sz w:val="11"/>
          <w:szCs w:val="11"/>
          <w:color w:val="BE1549"/>
        </w:rPr>
      </w:pPr>
      <w:r>
        <w:rPr>
          <w:rFonts w:ascii="Arial" w:cs="Arial" w:eastAsia="Arial" w:hAnsi="Arial"/>
          <w:sz w:val="16"/>
          <w:szCs w:val="16"/>
          <w:color w:val="auto"/>
        </w:rPr>
        <w:t>Reviewed and discussed the Company’s earnings press release, consolidated financial statements and its annual report on Form 10-K, with management and the independent auditor</w:t>
      </w:r>
    </w:p>
    <w:p>
      <w:pPr>
        <w:spacing w:after="0" w:line="1" w:lineRule="exact"/>
        <w:rPr>
          <w:rFonts w:ascii="Arial" w:cs="Arial" w:eastAsia="Arial" w:hAnsi="Arial"/>
          <w:sz w:val="11"/>
          <w:szCs w:val="11"/>
          <w:color w:val="BE1549"/>
        </w:rPr>
      </w:pPr>
    </w:p>
    <w:p>
      <w:pPr>
        <w:ind w:left="340" w:right="140" w:hanging="251"/>
        <w:spacing w:after="0" w:line="290" w:lineRule="auto"/>
        <w:tabs>
          <w:tab w:leader="none" w:pos="340" w:val="left"/>
        </w:tabs>
        <w:numPr>
          <w:ilvl w:val="0"/>
          <w:numId w:val="67"/>
        </w:numPr>
        <w:rPr>
          <w:rFonts w:ascii="Arial" w:cs="Arial" w:eastAsia="Arial" w:hAnsi="Arial"/>
          <w:sz w:val="11"/>
          <w:szCs w:val="11"/>
          <w:color w:val="BE1549"/>
        </w:rPr>
      </w:pPr>
      <w:r>
        <w:rPr>
          <w:rFonts w:ascii="Arial" w:cs="Arial" w:eastAsia="Arial" w:hAnsi="Arial"/>
          <w:sz w:val="16"/>
          <w:szCs w:val="16"/>
          <w:color w:val="auto"/>
        </w:rPr>
        <w:t>Reviewed with management and the independent auditor management’s assessment of the effectiveness of our internal control over financial reporting</w:t>
      </w:r>
    </w:p>
    <w:p>
      <w:pPr>
        <w:ind w:left="340" w:right="280" w:hanging="251"/>
        <w:spacing w:after="0" w:line="290" w:lineRule="auto"/>
        <w:tabs>
          <w:tab w:leader="none" w:pos="340" w:val="left"/>
        </w:tabs>
        <w:numPr>
          <w:ilvl w:val="0"/>
          <w:numId w:val="67"/>
        </w:numPr>
        <w:rPr>
          <w:rFonts w:ascii="Arial" w:cs="Arial" w:eastAsia="Arial" w:hAnsi="Arial"/>
          <w:sz w:val="11"/>
          <w:szCs w:val="11"/>
          <w:color w:val="BE1549"/>
        </w:rPr>
      </w:pPr>
      <w:r>
        <w:rPr>
          <w:rFonts w:ascii="Arial" w:cs="Arial" w:eastAsia="Arial" w:hAnsi="Arial"/>
          <w:sz w:val="16"/>
          <w:szCs w:val="16"/>
          <w:color w:val="auto"/>
        </w:rPr>
        <w:t>Reviewed with the independent auditor and management, the audit scope of the independent auditor, including critical audit matters</w:t>
      </w:r>
    </w:p>
    <w:p>
      <w:pPr>
        <w:ind w:left="340" w:right="20" w:hanging="251"/>
        <w:spacing w:after="0" w:line="286" w:lineRule="auto"/>
        <w:tabs>
          <w:tab w:leader="none" w:pos="340" w:val="left"/>
        </w:tabs>
        <w:numPr>
          <w:ilvl w:val="0"/>
          <w:numId w:val="67"/>
        </w:numPr>
        <w:rPr>
          <w:rFonts w:ascii="Arial" w:cs="Arial" w:eastAsia="Arial" w:hAnsi="Arial"/>
          <w:sz w:val="11"/>
          <w:szCs w:val="11"/>
          <w:color w:val="BE1549"/>
        </w:rPr>
      </w:pPr>
      <w:r>
        <w:rPr>
          <w:rFonts w:ascii="Arial" w:cs="Arial" w:eastAsia="Arial" w:hAnsi="Arial"/>
          <w:sz w:val="16"/>
          <w:szCs w:val="16"/>
          <w:color w:val="auto"/>
        </w:rPr>
        <w:t>Inquired about significant risks, reviewed the Company’s policies for risk assessment and risk management and assessed the steps management is taking to control these risks, and</w:t>
      </w:r>
    </w:p>
    <w:p>
      <w:pPr>
        <w:spacing w:after="0" w:line="7" w:lineRule="exact"/>
        <w:rPr>
          <w:rFonts w:ascii="Arial" w:cs="Arial" w:eastAsia="Arial" w:hAnsi="Arial"/>
          <w:sz w:val="11"/>
          <w:szCs w:val="11"/>
          <w:color w:val="BE1549"/>
        </w:rPr>
      </w:pPr>
    </w:p>
    <w:p>
      <w:pPr>
        <w:ind w:left="340" w:hanging="251"/>
        <w:spacing w:after="0"/>
        <w:tabs>
          <w:tab w:leader="none" w:pos="340" w:val="left"/>
        </w:tabs>
        <w:numPr>
          <w:ilvl w:val="0"/>
          <w:numId w:val="67"/>
        </w:numPr>
        <w:rPr>
          <w:rFonts w:ascii="Arial" w:cs="Arial" w:eastAsia="Arial" w:hAnsi="Arial"/>
          <w:sz w:val="11"/>
          <w:szCs w:val="11"/>
          <w:color w:val="BE1549"/>
        </w:rPr>
      </w:pPr>
      <w:r>
        <w:rPr>
          <w:rFonts w:ascii="Arial" w:cs="Arial" w:eastAsia="Arial" w:hAnsi="Arial"/>
          <w:sz w:val="16"/>
          <w:szCs w:val="16"/>
          <w:color w:val="auto"/>
        </w:rPr>
        <w:t>Met in executive session with the independent auditor</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audit committee has reviewed and discussed with management and the independent auditor our 2025 audited consolidated financial statements, and the independent auditor’s report on those financial statements. Management represented to the audit committee that the Company’s financial statements were prepared in accordance with GAAP. EY presented the matters required to be discussed with the audit committee by the applicable requirements of the Public Company Accounting Oversight Board (United States) and the SEC. This review included a discussion with management and the independent auditor of the quality (not merely the acceptability) of the Company’s accounting principles, the reasonableness of significant estimates and judgments and the disclosures in the Company’s consolidated financial statements and related footnotes, including the disclosures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65</w:t>
      </w:r>
    </w:p>
    <w:p>
      <w:pPr>
        <w:sectPr>
          <w:pgSz w:w="11900" w:h="16838" w:orient="portrait"/>
          <w:cols w:equalWidth="0" w:num="1">
            <w:col w:w="9060"/>
          </w:cols>
          <w:pgMar w:left="1400" w:top="1440" w:right="1439" w:bottom="1440" w:gutter="0" w:footer="0" w:header="0"/>
        </w:sectPr>
      </w:pPr>
    </w:p>
    <w:bookmarkStart w:id="71" w:name="page72"/>
    <w:bookmarkEnd w:id="71"/>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15. AUDIT COMMITTEE REPORT</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audit committee recognizes the importance of maintaining the independence of the Company’s independent auditor, both in fact and appearance. EY has audited the Company’s consolidated financial statements annually since it was first appointed in 2002. Consistent with its charter, the audit committee, along with the Company management and internal auditors, reviewed EY’s performance as part of the audit committee’s consideration of whether to reappoint the firm as our independent auditors. As part of this review of EY, the audit committee considered independence and objectivity, quality of service, evaluations by our management and internal auditors, the quality and candor of communications with the audit committee and management, the length of time the audit firm has served as our independent auditors, the fees for audit and non-audit services, capability and expertise in the financial services industry and in handling the breadth and complexity of our worldwide operations, the audit approach, and size and reputation. As part of its auditor engagement process, the audit committee considers whether to rotate the independent audit firm, and periodically solicits competitive bids for the independent auditor engagement to help ensure the competitiveness of the independent auditor with respect to each of the factors set forth above.</w:t>
      </w:r>
    </w:p>
    <w:p>
      <w:pPr>
        <w:spacing w:after="0" w:line="12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evaluating the independence of EY, the Audit Committee has (i) received the written disclosures and the letter from EY required by applicable requirements of the Public Company Accounting Oversight Board regarding the audit firm’s communications with the audit committee concerning independence, and (ii) discussed with EY the firm’s independence from the Company and management.</w:t>
      </w:r>
    </w:p>
    <w:p>
      <w:pPr>
        <w:spacing w:after="0" w:line="11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audit committee also evaluates the selection of the lead audit partner, including their qualifications and performance, most recently appointing the current lead partner in 2024. The process involved consultation with EY and meetings with several candidates, and facilitated involvement of the incoming lead partner in various 2023 meetings to provide an orderly transition in 2024.</w:t>
      </w:r>
    </w:p>
    <w:p>
      <w:pPr>
        <w:spacing w:after="0" w:line="13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Based on the criteria described above, the audit committee recommended to the Board that the audited consolidated financial statements be included in the Company’s Annual Report on Form 10-K for the year ended December 31, 2025, for filing with the SEC. The audit committee has selected Ernst &amp; Young LLP as the independent registered public accounting firm for fiscal year 2026 subject to shareholder ratification. The Board is recommending that shareholders ratify this selection at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67" w:lineRule="exact"/>
        <w:rPr>
          <w:sz w:val="20"/>
          <w:szCs w:val="20"/>
          <w:color w:val="auto"/>
        </w:rPr>
      </w:pPr>
    </w:p>
    <w:p>
      <w:pPr>
        <w:ind w:left="340" w:hanging="251"/>
        <w:spacing w:after="0"/>
        <w:tabs>
          <w:tab w:leader="none" w:pos="340" w:val="left"/>
        </w:tabs>
        <w:numPr>
          <w:ilvl w:val="0"/>
          <w:numId w:val="68"/>
        </w:numPr>
        <w:rPr>
          <w:rFonts w:ascii="Arial" w:cs="Arial" w:eastAsia="Arial" w:hAnsi="Arial"/>
          <w:sz w:val="11"/>
          <w:szCs w:val="11"/>
          <w:color w:val="BE1549"/>
        </w:rPr>
      </w:pPr>
      <w:r>
        <w:rPr>
          <w:rFonts w:ascii="Arial" w:cs="Arial" w:eastAsia="Arial" w:hAnsi="Arial"/>
          <w:sz w:val="16"/>
          <w:szCs w:val="16"/>
          <w:color w:val="auto"/>
        </w:rPr>
        <w:t>Richard Macchia (Chair)</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68"/>
        </w:numPr>
        <w:rPr>
          <w:rFonts w:ascii="Arial" w:cs="Arial" w:eastAsia="Arial" w:hAnsi="Arial"/>
          <w:sz w:val="11"/>
          <w:szCs w:val="11"/>
          <w:color w:val="BE1549"/>
        </w:rPr>
      </w:pPr>
      <w:r>
        <w:rPr>
          <w:rFonts w:ascii="Arial" w:cs="Arial" w:eastAsia="Arial" w:hAnsi="Arial"/>
          <w:sz w:val="16"/>
          <w:szCs w:val="16"/>
          <w:color w:val="auto"/>
        </w:rPr>
        <w:t>Rahul Gupta</w:t>
      </w:r>
    </w:p>
    <w:p>
      <w:pPr>
        <w:spacing w:after="0" w:line="72" w:lineRule="exact"/>
        <w:rPr>
          <w:rFonts w:ascii="Arial" w:cs="Arial" w:eastAsia="Arial" w:hAnsi="Arial"/>
          <w:sz w:val="11"/>
          <w:szCs w:val="11"/>
          <w:color w:val="BE1549"/>
        </w:rPr>
      </w:pPr>
    </w:p>
    <w:p>
      <w:pPr>
        <w:ind w:left="340" w:hanging="251"/>
        <w:spacing w:after="0"/>
        <w:tabs>
          <w:tab w:leader="none" w:pos="340" w:val="left"/>
        </w:tabs>
        <w:numPr>
          <w:ilvl w:val="0"/>
          <w:numId w:val="68"/>
        </w:numPr>
        <w:rPr>
          <w:rFonts w:ascii="Arial" w:cs="Arial" w:eastAsia="Arial" w:hAnsi="Arial"/>
          <w:sz w:val="11"/>
          <w:szCs w:val="11"/>
          <w:color w:val="BE1549"/>
        </w:rPr>
      </w:pPr>
      <w:r>
        <w:rPr>
          <w:rFonts w:ascii="Arial" w:cs="Arial" w:eastAsia="Arial" w:hAnsi="Arial"/>
          <w:sz w:val="16"/>
          <w:szCs w:val="16"/>
          <w:color w:val="auto"/>
        </w:rPr>
        <w:t>Archie L. Jones, Jr.</w:t>
      </w:r>
    </w:p>
    <w:p>
      <w:pPr>
        <w:spacing w:after="0" w:line="59" w:lineRule="exact"/>
        <w:rPr>
          <w:rFonts w:ascii="Arial" w:cs="Arial" w:eastAsia="Arial" w:hAnsi="Arial"/>
          <w:sz w:val="11"/>
          <w:szCs w:val="11"/>
          <w:color w:val="BE1549"/>
        </w:rPr>
      </w:pPr>
    </w:p>
    <w:p>
      <w:pPr>
        <w:ind w:left="340" w:hanging="251"/>
        <w:spacing w:after="0"/>
        <w:tabs>
          <w:tab w:leader="none" w:pos="340" w:val="left"/>
        </w:tabs>
        <w:numPr>
          <w:ilvl w:val="0"/>
          <w:numId w:val="68"/>
        </w:numPr>
        <w:rPr>
          <w:rFonts w:ascii="Arial" w:cs="Arial" w:eastAsia="Arial" w:hAnsi="Arial"/>
          <w:sz w:val="11"/>
          <w:szCs w:val="11"/>
          <w:color w:val="BE1549"/>
        </w:rPr>
      </w:pPr>
      <w:r>
        <w:rPr>
          <w:rFonts w:ascii="Arial" w:cs="Arial" w:eastAsia="Arial" w:hAnsi="Arial"/>
          <w:sz w:val="16"/>
          <w:szCs w:val="16"/>
          <w:color w:val="auto"/>
        </w:rPr>
        <w:t>Gerald Throop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66</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29" w:right="1419" w:bottom="1440" w:gutter="0" w:footer="0" w:header="0"/>
        </w:sectPr>
      </w:pPr>
    </w:p>
    <w:bookmarkStart w:id="72" w:name="page73"/>
    <w:bookmarkEnd w:id="7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16. Audit Matters</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C43776"/>
        </w:rPr>
        <w:t>Fees Billed by Ernst &amp; Young LLP</w:t>
      </w:r>
    </w:p>
    <w:p>
      <w:pPr>
        <w:spacing w:after="0" w:line="159"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table below illustrates fees for professional audit services rendered by Ernst &amp; Young LLP for the audit of our annual financial statements for the years ended December 31, 2025 and 2024, and fees billed for other services rendered by Ernst &amp; Young LLP during those periods.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0" w:type="dxa"/>
            <w:vAlign w:val="bottom"/>
            <w:shd w:val="clear" w:color="auto" w:fill="C43776"/>
          </w:tcPr>
          <w:p>
            <w:pPr>
              <w:spacing w:after="0"/>
              <w:rPr>
                <w:sz w:val="23"/>
                <w:szCs w:val="23"/>
                <w:color w:val="auto"/>
              </w:rPr>
            </w:pPr>
          </w:p>
        </w:tc>
        <w:tc>
          <w:tcPr>
            <w:tcW w:w="80" w:type="dxa"/>
            <w:vAlign w:val="bottom"/>
            <w:shd w:val="clear" w:color="auto" w:fill="C43776"/>
          </w:tcPr>
          <w:p>
            <w:pPr>
              <w:spacing w:after="0"/>
              <w:rPr>
                <w:sz w:val="23"/>
                <w:szCs w:val="23"/>
                <w:color w:val="auto"/>
              </w:rPr>
            </w:pPr>
          </w:p>
        </w:tc>
        <w:tc>
          <w:tcPr>
            <w:tcW w:w="2600" w:type="dxa"/>
            <w:vAlign w:val="bottom"/>
            <w:gridSpan w:val="2"/>
            <w:shd w:val="clear" w:color="auto" w:fill="C43776"/>
          </w:tcPr>
          <w:p>
            <w:pPr>
              <w:jc w:val="right"/>
              <w:ind w:right="228"/>
              <w:spacing w:after="0"/>
              <w:rPr>
                <w:sz w:val="20"/>
                <w:szCs w:val="20"/>
                <w:color w:val="auto"/>
              </w:rPr>
            </w:pPr>
            <w:r>
              <w:rPr>
                <w:rFonts w:ascii="Arial" w:cs="Arial" w:eastAsia="Arial" w:hAnsi="Arial"/>
                <w:sz w:val="14"/>
                <w:szCs w:val="14"/>
                <w:b w:val="1"/>
                <w:bCs w:val="1"/>
                <w:color w:val="FFFFFF"/>
              </w:rPr>
              <w:t>Year Ended December 31 (in $)</w:t>
            </w:r>
          </w:p>
        </w:tc>
      </w:tr>
      <w:tr>
        <w:trPr>
          <w:trHeight w:val="364"/>
        </w:trPr>
        <w:tc>
          <w:tcPr>
            <w:tcW w:w="6400" w:type="dxa"/>
            <w:vAlign w:val="bottom"/>
            <w:shd w:val="clear" w:color="auto" w:fill="C43776"/>
          </w:tcPr>
          <w:p>
            <w:pPr>
              <w:spacing w:after="0"/>
              <w:rPr>
                <w:sz w:val="24"/>
                <w:szCs w:val="24"/>
                <w:color w:val="auto"/>
              </w:rPr>
            </w:pPr>
          </w:p>
        </w:tc>
        <w:tc>
          <w:tcPr>
            <w:tcW w:w="80" w:type="dxa"/>
            <w:vAlign w:val="bottom"/>
            <w:shd w:val="clear" w:color="auto" w:fill="C43776"/>
          </w:tcPr>
          <w:p>
            <w:pPr>
              <w:spacing w:after="0"/>
              <w:rPr>
                <w:sz w:val="24"/>
                <w:szCs w:val="24"/>
                <w:color w:val="auto"/>
              </w:rPr>
            </w:pPr>
          </w:p>
        </w:tc>
        <w:tc>
          <w:tcPr>
            <w:tcW w:w="1440" w:type="dxa"/>
            <w:vAlign w:val="bottom"/>
            <w:shd w:val="clear" w:color="auto" w:fill="C43776"/>
          </w:tcPr>
          <w:p>
            <w:pPr>
              <w:jc w:val="right"/>
              <w:ind w:right="208"/>
              <w:spacing w:after="0"/>
              <w:rPr>
                <w:sz w:val="20"/>
                <w:szCs w:val="20"/>
                <w:color w:val="auto"/>
              </w:rPr>
            </w:pPr>
            <w:r>
              <w:rPr>
                <w:rFonts w:ascii="Arial" w:cs="Arial" w:eastAsia="Arial" w:hAnsi="Arial"/>
                <w:sz w:val="14"/>
                <w:szCs w:val="14"/>
                <w:b w:val="1"/>
                <w:bCs w:val="1"/>
                <w:color w:val="FFFFFF"/>
              </w:rPr>
              <w:t>2025</w:t>
            </w:r>
            <w:r>
              <w:rPr>
                <w:rFonts w:ascii="Arial" w:cs="Arial" w:eastAsia="Arial" w:hAnsi="Arial"/>
                <w:sz w:val="18"/>
                <w:szCs w:val="18"/>
                <w:b w:val="1"/>
                <w:bCs w:val="1"/>
                <w:color w:val="FFFFFF"/>
                <w:vertAlign w:val="superscript"/>
              </w:rPr>
              <w:t>(1)</w:t>
            </w:r>
          </w:p>
        </w:tc>
        <w:tc>
          <w:tcPr>
            <w:tcW w:w="116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2024</w:t>
            </w:r>
          </w:p>
        </w:tc>
      </w:tr>
      <w:tr>
        <w:trPr>
          <w:trHeight w:val="94"/>
        </w:trPr>
        <w:tc>
          <w:tcPr>
            <w:tcW w:w="6400" w:type="dxa"/>
            <w:vAlign w:val="bottom"/>
            <w:shd w:val="clear" w:color="auto" w:fill="C43776"/>
          </w:tcPr>
          <w:p>
            <w:pPr>
              <w:spacing w:after="0"/>
              <w:rPr>
                <w:sz w:val="8"/>
                <w:szCs w:val="8"/>
                <w:color w:val="auto"/>
              </w:rPr>
            </w:pPr>
          </w:p>
        </w:tc>
        <w:tc>
          <w:tcPr>
            <w:tcW w:w="80" w:type="dxa"/>
            <w:vAlign w:val="bottom"/>
            <w:shd w:val="clear" w:color="auto" w:fill="C43776"/>
          </w:tcPr>
          <w:p>
            <w:pPr>
              <w:spacing w:after="0"/>
              <w:rPr>
                <w:sz w:val="8"/>
                <w:szCs w:val="8"/>
                <w:color w:val="auto"/>
              </w:rPr>
            </w:pPr>
          </w:p>
        </w:tc>
        <w:tc>
          <w:tcPr>
            <w:tcW w:w="1440" w:type="dxa"/>
            <w:vAlign w:val="bottom"/>
            <w:shd w:val="clear" w:color="auto" w:fill="C43776"/>
          </w:tcPr>
          <w:p>
            <w:pPr>
              <w:spacing w:after="0"/>
              <w:rPr>
                <w:sz w:val="8"/>
                <w:szCs w:val="8"/>
                <w:color w:val="auto"/>
              </w:rPr>
            </w:pPr>
          </w:p>
        </w:tc>
        <w:tc>
          <w:tcPr>
            <w:tcW w:w="1160" w:type="dxa"/>
            <w:vAlign w:val="bottom"/>
            <w:shd w:val="clear" w:color="auto" w:fill="C43776"/>
          </w:tcPr>
          <w:p>
            <w:pPr>
              <w:spacing w:after="0"/>
              <w:rPr>
                <w:sz w:val="8"/>
                <w:szCs w:val="8"/>
                <w:color w:val="auto"/>
              </w:rPr>
            </w:pPr>
          </w:p>
        </w:tc>
      </w:tr>
      <w:tr>
        <w:trPr>
          <w:trHeight w:val="248"/>
        </w:trPr>
        <w:tc>
          <w:tcPr>
            <w:tcW w:w="6400" w:type="dxa"/>
            <w:vAlign w:val="bottom"/>
          </w:tcPr>
          <w:p>
            <w:pPr>
              <w:ind w:left="140"/>
              <w:spacing w:after="0"/>
              <w:rPr>
                <w:sz w:val="20"/>
                <w:szCs w:val="20"/>
                <w:color w:val="auto"/>
              </w:rPr>
            </w:pPr>
            <w:r>
              <w:rPr>
                <w:rFonts w:ascii="Arial" w:cs="Arial" w:eastAsia="Arial" w:hAnsi="Arial"/>
                <w:sz w:val="14"/>
                <w:szCs w:val="14"/>
                <w:color w:val="auto"/>
              </w:rPr>
              <w:t>Audit Fees</w:t>
            </w:r>
          </w:p>
        </w:tc>
        <w:tc>
          <w:tcPr>
            <w:tcW w:w="1520" w:type="dxa"/>
            <w:vAlign w:val="bottom"/>
            <w:gridSpan w:val="2"/>
          </w:tcPr>
          <w:p>
            <w:pPr>
              <w:jc w:val="right"/>
              <w:ind w:right="228"/>
              <w:spacing w:after="0"/>
              <w:rPr>
                <w:sz w:val="20"/>
                <w:szCs w:val="20"/>
                <w:color w:val="auto"/>
              </w:rPr>
            </w:pPr>
            <w:r>
              <w:rPr>
                <w:rFonts w:ascii="Arial" w:cs="Arial" w:eastAsia="Arial" w:hAnsi="Arial"/>
                <w:sz w:val="14"/>
                <w:szCs w:val="14"/>
                <w:color w:val="auto"/>
              </w:rPr>
              <w:t>15,163,661</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10,073,000</w:t>
            </w:r>
          </w:p>
        </w:tc>
      </w:tr>
      <w:tr>
        <w:trPr>
          <w:trHeight w:val="22"/>
        </w:trPr>
        <w:tc>
          <w:tcPr>
            <w:tcW w:w="64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640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color w:val="auto"/>
              </w:rPr>
              <w:t>Audit Related Fees</w:t>
            </w:r>
          </w:p>
        </w:tc>
        <w:tc>
          <w:tcPr>
            <w:tcW w:w="1520" w:type="dxa"/>
            <w:vAlign w:val="bottom"/>
            <w:tcBorders>
              <w:bottom w:val="single" w:sz="8" w:color="F1F2F2"/>
            </w:tcBorders>
            <w:gridSpan w:val="2"/>
            <w:shd w:val="clear" w:color="auto" w:fill="F1F2F2"/>
          </w:tcPr>
          <w:p>
            <w:pPr>
              <w:jc w:val="right"/>
              <w:ind w:right="228"/>
              <w:spacing w:after="0"/>
              <w:rPr>
                <w:sz w:val="20"/>
                <w:szCs w:val="20"/>
                <w:color w:val="auto"/>
              </w:rPr>
            </w:pPr>
            <w:r>
              <w:rPr>
                <w:rFonts w:ascii="Arial" w:cs="Arial" w:eastAsia="Arial" w:hAnsi="Arial"/>
                <w:sz w:val="14"/>
                <w:szCs w:val="14"/>
                <w:color w:val="auto"/>
              </w:rPr>
              <w:t>2,897,117</w:t>
            </w:r>
          </w:p>
        </w:tc>
        <w:tc>
          <w:tcPr>
            <w:tcW w:w="11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1,458,000</w:t>
            </w:r>
          </w:p>
        </w:tc>
      </w:tr>
      <w:tr>
        <w:trPr>
          <w:trHeight w:val="248"/>
        </w:trPr>
        <w:tc>
          <w:tcPr>
            <w:tcW w:w="6400" w:type="dxa"/>
            <w:vAlign w:val="bottom"/>
          </w:tcPr>
          <w:p>
            <w:pPr>
              <w:ind w:left="140"/>
              <w:spacing w:after="0"/>
              <w:rPr>
                <w:sz w:val="20"/>
                <w:szCs w:val="20"/>
                <w:color w:val="auto"/>
              </w:rPr>
            </w:pPr>
            <w:r>
              <w:rPr>
                <w:rFonts w:ascii="Arial" w:cs="Arial" w:eastAsia="Arial" w:hAnsi="Arial"/>
                <w:sz w:val="14"/>
                <w:szCs w:val="14"/>
                <w:color w:val="auto"/>
              </w:rPr>
              <w:t>Tax Fees</w:t>
            </w:r>
          </w:p>
        </w:tc>
        <w:tc>
          <w:tcPr>
            <w:tcW w:w="1520" w:type="dxa"/>
            <w:vAlign w:val="bottom"/>
            <w:gridSpan w:val="2"/>
          </w:tcPr>
          <w:p>
            <w:pPr>
              <w:jc w:val="right"/>
              <w:ind w:right="228"/>
              <w:spacing w:after="0"/>
              <w:rPr>
                <w:sz w:val="20"/>
                <w:szCs w:val="20"/>
                <w:color w:val="auto"/>
              </w:rPr>
            </w:pPr>
            <w:r>
              <w:rPr>
                <w:rFonts w:ascii="Arial" w:cs="Arial" w:eastAsia="Arial" w:hAnsi="Arial"/>
                <w:sz w:val="14"/>
                <w:szCs w:val="14"/>
                <w:color w:val="auto"/>
              </w:rPr>
              <w:t>1,859,858</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748,000</w:t>
            </w:r>
          </w:p>
        </w:tc>
      </w:tr>
      <w:tr>
        <w:trPr>
          <w:trHeight w:val="22"/>
        </w:trPr>
        <w:tc>
          <w:tcPr>
            <w:tcW w:w="64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640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4"/>
                <w:szCs w:val="14"/>
                <w:color w:val="auto"/>
              </w:rPr>
              <w:t>All Other Fees</w:t>
            </w:r>
          </w:p>
        </w:tc>
        <w:tc>
          <w:tcPr>
            <w:tcW w:w="80" w:type="dxa"/>
            <w:vAlign w:val="bottom"/>
            <w:tcBorders>
              <w:bottom w:val="single" w:sz="8" w:color="F1F2F2"/>
            </w:tcBorders>
            <w:shd w:val="clear" w:color="auto" w:fill="F1F2F2"/>
          </w:tcPr>
          <w:p>
            <w:pPr>
              <w:spacing w:after="0"/>
              <w:rPr>
                <w:sz w:val="23"/>
                <w:szCs w:val="23"/>
                <w:color w:val="auto"/>
              </w:rPr>
            </w:pP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4,000</w:t>
            </w:r>
          </w:p>
        </w:tc>
        <w:tc>
          <w:tcPr>
            <w:tcW w:w="11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4,000</w:t>
            </w:r>
          </w:p>
        </w:tc>
      </w:tr>
      <w:tr>
        <w:trPr>
          <w:trHeight w:val="228"/>
        </w:trPr>
        <w:tc>
          <w:tcPr>
            <w:tcW w:w="6400" w:type="dxa"/>
            <w:vAlign w:val="bottom"/>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19,924,636</w:t>
            </w:r>
          </w:p>
        </w:tc>
        <w:tc>
          <w:tcPr>
            <w:tcW w:w="11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12,283,000</w:t>
            </w:r>
          </w:p>
        </w:tc>
      </w:tr>
      <w:tr>
        <w:trPr>
          <w:trHeight w:val="22"/>
        </w:trPr>
        <w:tc>
          <w:tcPr>
            <w:tcW w:w="6400" w:type="dxa"/>
            <w:vAlign w:val="bottom"/>
            <w:tcBorders>
              <w:bottom w:val="single" w:sz="8" w:color="C43776"/>
            </w:tcBorders>
          </w:tcPr>
          <w:p>
            <w:pPr>
              <w:spacing w:after="0" w:line="20" w:lineRule="exact"/>
              <w:rPr>
                <w:sz w:val="1"/>
                <w:szCs w:val="1"/>
                <w:color w:val="auto"/>
              </w:rPr>
            </w:pPr>
          </w:p>
        </w:tc>
        <w:tc>
          <w:tcPr>
            <w:tcW w:w="80" w:type="dxa"/>
            <w:vAlign w:val="bottom"/>
            <w:tcBorders>
              <w:bottom w:val="single" w:sz="8" w:color="C43776"/>
            </w:tcBorders>
          </w:tcPr>
          <w:p>
            <w:pPr>
              <w:spacing w:after="0" w:line="20" w:lineRule="exact"/>
              <w:rPr>
                <w:sz w:val="1"/>
                <w:szCs w:val="1"/>
                <w:color w:val="auto"/>
              </w:rPr>
            </w:pPr>
          </w:p>
        </w:tc>
        <w:tc>
          <w:tcPr>
            <w:tcW w:w="1440" w:type="dxa"/>
            <w:vAlign w:val="bottom"/>
            <w:tcBorders>
              <w:bottom w:val="single" w:sz="8" w:color="C43776"/>
            </w:tcBorders>
          </w:tcPr>
          <w:p>
            <w:pPr>
              <w:spacing w:after="0" w:line="20" w:lineRule="exact"/>
              <w:rPr>
                <w:sz w:val="1"/>
                <w:szCs w:val="1"/>
                <w:color w:val="auto"/>
              </w:rPr>
            </w:pPr>
          </w:p>
        </w:tc>
        <w:tc>
          <w:tcPr>
            <w:tcW w:w="1160" w:type="dxa"/>
            <w:vAlign w:val="bottom"/>
            <w:tcBorders>
              <w:bottom w:val="single" w:sz="8" w:color="C43776"/>
            </w:tcBorders>
          </w:tcPr>
          <w:p>
            <w:pPr>
              <w:spacing w:after="0" w:line="20" w:lineRule="exact"/>
              <w:rPr>
                <w:sz w:val="1"/>
                <w:szCs w:val="1"/>
                <w:color w:val="auto"/>
              </w:rPr>
            </w:pPr>
          </w:p>
        </w:tc>
      </w:tr>
    </w:tbl>
    <w:p>
      <w:pPr>
        <w:spacing w:after="0" w:line="106"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Increase due to a higher level of transactions during the year vs. prior year.</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color w:val="auto"/>
        </w:rPr>
        <w:t>Audit Fees</w:t>
      </w:r>
    </w:p>
    <w:p>
      <w:pPr>
        <w:spacing w:after="0" w:line="13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These amounts represent fees for professional services for the audit of our annual consolidated financial statements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as applicable.</w:t>
      </w:r>
    </w:p>
    <w:p>
      <w:pPr>
        <w:spacing w:after="0" w:line="11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Audit Fees also include advice on accounting matters that arose in connection with or as a result of the audit or the review of periodic consolidated financial statements and statutory audits that non-U.S. jurisdictions require.</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auto"/>
        </w:rPr>
        <w:t>Audit Related Fees</w:t>
      </w:r>
    </w:p>
    <w:p>
      <w:pPr>
        <w:spacing w:after="0" w:line="13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Audit related fees consist of assurance and related services that are reasonably related to the performance of the audit or review of our consolidated financial statements.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performance of the review or audit of our financial statements, and accounting consultations about the application of GAAP to proposed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auto"/>
        </w:rPr>
        <w:t>Tax Fees and All Other Fees</w:t>
      </w:r>
    </w:p>
    <w:p>
      <w:pPr>
        <w:spacing w:after="0" w:line="153"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Fees and expenses paid to our Ernst &amp; Young LLP for tax compliance, planning and advice. The audit committee has concluded the provision of the non-audit services listed above is compatible with maintaining the independence of Ernst &amp; Young LLP. None of the services related to the fees described above was approved pursuant to the waiver of pre-approval provisions set forth in the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67</w:t>
      </w:r>
    </w:p>
    <w:p>
      <w:pPr>
        <w:sectPr>
          <w:pgSz w:w="11900" w:h="16838" w:orient="portrait"/>
          <w:cols w:equalWidth="0" w:num="1">
            <w:col w:w="9080"/>
          </w:cols>
          <w:pgMar w:left="1400" w:top="1440" w:right="1419" w:bottom="1440" w:gutter="0" w:footer="0" w:header="0"/>
        </w:sectPr>
      </w:pPr>
    </w:p>
    <w:bookmarkStart w:id="73" w:name="page74"/>
    <w:bookmarkEnd w:id="73"/>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16. AUDIT MATTERS</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140"/>
        <w:spacing w:after="0" w:line="295" w:lineRule="auto"/>
        <w:rPr>
          <w:sz w:val="20"/>
          <w:szCs w:val="20"/>
          <w:color w:val="auto"/>
        </w:rPr>
      </w:pPr>
      <w:r>
        <w:rPr>
          <w:rFonts w:ascii="Arial" w:cs="Arial" w:eastAsia="Arial" w:hAnsi="Arial"/>
          <w:sz w:val="32"/>
          <w:szCs w:val="32"/>
          <w:color w:val="C43776"/>
        </w:rPr>
        <w:t>Policy on Audit Committee Pre-Approval of Audit and Permissible Non-Audit Services of Independent Auditor</w:t>
      </w:r>
    </w:p>
    <w:p>
      <w:pPr>
        <w:spacing w:after="0" w:line="1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audit committee has established a policy for pre-approval of audit and permissible non-audit services provided by the independent auditor and is responsible for fee negotiations with the independent auditor. Each year, the audit committee approves the terms on which the independent auditor is engaged for the ensuing fiscal year. At least quarterly, the committee will review and, if appropriate, pre-approve services to be performed by the independent auditor, review a report summarizing fiscal year-to-date services provided by the independent auditor, and review an updated projection of the fiscal year’s estimated fees. The audit committee, as permitted by its pre-approval policy, from time to time delegates the approval of certain permitted services or classes of services to a member of the committee. The committee will then review the delegate’s approval decisions each quarter. Independent auditor fees are evaluated based on the scope of the proposed work, the overall hours and fees and a reconciliation of overall hours and fees from one year to the next, reasonable and customary fees in the industry, periodic competitive bids, expected increases and decreases based on changes in the Company’s business and other changes such as new acquisitions, expected decrease in hours in the second and subsequent years of ownership of an acquired company, and expected impact of any new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68</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60"/>
          </w:cols>
          <w:pgMar w:left="1400" w:top="729" w:right="1439" w:bottom="1440" w:gutter="0" w:footer="0" w:header="0"/>
        </w:sectPr>
      </w:pPr>
    </w:p>
    <w:bookmarkStart w:id="74" w:name="page75"/>
    <w:bookmarkEnd w:id="7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17. Proposal 1: Election of Directors</w:t>
      </w:r>
    </w:p>
    <w:p>
      <w:pPr>
        <w:spacing w:after="0" w:line="200" w:lineRule="exact"/>
        <w:rPr>
          <w:sz w:val="20"/>
          <w:szCs w:val="20"/>
          <w:color w:val="auto"/>
        </w:rPr>
      </w:pPr>
    </w:p>
    <w:p>
      <w:pPr>
        <w:spacing w:after="0" w:line="222" w:lineRule="exact"/>
        <w:rPr>
          <w:sz w:val="20"/>
          <w:szCs w:val="20"/>
          <w:color w:val="auto"/>
        </w:rPr>
      </w:pPr>
    </w:p>
    <w:p>
      <w:pPr>
        <w:ind w:right="179"/>
        <w:spacing w:after="0" w:line="304" w:lineRule="auto"/>
        <w:rPr>
          <w:sz w:val="20"/>
          <w:szCs w:val="20"/>
          <w:color w:val="auto"/>
        </w:rPr>
      </w:pPr>
      <w:r>
        <w:rPr>
          <w:rFonts w:ascii="Arial" w:cs="Arial" w:eastAsia="Arial" w:hAnsi="Arial"/>
          <w:sz w:val="16"/>
          <w:szCs w:val="16"/>
          <w:color w:val="auto"/>
        </w:rPr>
        <w:t>Our Board of Directors currently consists of twelve members. Except for our CEO, all of our directors are independent under the NYSE rules.</w:t>
      </w:r>
    </w:p>
    <w:p>
      <w:pPr>
        <w:spacing w:after="0" w:line="87" w:lineRule="exact"/>
        <w:rPr>
          <w:sz w:val="20"/>
          <w:szCs w:val="20"/>
          <w:color w:val="auto"/>
        </w:rPr>
      </w:pPr>
    </w:p>
    <w:p>
      <w:pPr>
        <w:ind w:right="59"/>
        <w:spacing w:after="0" w:line="259" w:lineRule="auto"/>
        <w:rPr>
          <w:sz w:val="20"/>
          <w:szCs w:val="20"/>
          <w:color w:val="auto"/>
        </w:rPr>
      </w:pPr>
      <w:r>
        <w:rPr>
          <w:rFonts w:ascii="Arial" w:cs="Arial" w:eastAsia="Arial" w:hAnsi="Arial"/>
          <w:sz w:val="16"/>
          <w:szCs w:val="16"/>
          <w:color w:val="auto"/>
        </w:rPr>
        <w:t>Each of our directors—Annabelle Bexiga, David L. Bunch, Ronald F. Clarke, Joseph W. Farrelly, Rahul Gupta, Thomas M. Hagerty, Archie L. Jones, Jr., Richard Macchia, Hala G. Moddelmog, Jeffrey S. Sloan, Steven T. Stull and Gerald Throop—will stand for election to the Board for a one-year term. If elected, each director nominee will hold office until the next annual meeting and until his or her successor is elected and qualified, or until their earlier resignation, removal or other termination of service. The accompanying proxy will be voted in favor of each individual to serve as a director unless the shareholder indicates to the contrary on the proxy. The Board expects that each of the nominees will be available to serve, but if any of them is unable to serve at the time the election occurs, the Board may, by resolution, provide for a lesser number of directors or designate a substitute nominee.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C43776"/>
        </w:rPr>
        <w:t>“FOR”</w:t>
      </w:r>
      <w:r>
        <w:rPr>
          <w:rFonts w:ascii="Arial" w:cs="Arial" w:eastAsia="Arial" w:hAnsi="Arial"/>
          <w:sz w:val="16"/>
          <w:szCs w:val="16"/>
          <w:b w:val="1"/>
          <w:bCs w:val="1"/>
          <w:color w:val="auto"/>
        </w:rPr>
        <w:t xml:space="preserve"> each of 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19"/>
        <w:spacing w:after="0"/>
        <w:tabs>
          <w:tab w:leader="none" w:pos="14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69</w:t>
      </w:r>
    </w:p>
    <w:p>
      <w:pPr>
        <w:sectPr>
          <w:pgSz w:w="11900" w:h="16838" w:orient="portrait"/>
          <w:cols w:equalWidth="0" w:num="1">
            <w:col w:w="9059"/>
          </w:cols>
          <w:pgMar w:left="1400" w:top="1440" w:right="1440" w:bottom="1440" w:gutter="0" w:footer="0" w:header="0"/>
        </w:sectPr>
      </w:pPr>
    </w:p>
    <w:bookmarkStart w:id="75" w:name="page76"/>
    <w:bookmarkEnd w:id="7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right="260" w:firstLine="8"/>
        <w:spacing w:after="0" w:line="263" w:lineRule="auto"/>
        <w:tabs>
          <w:tab w:leader="none" w:pos="660" w:val="left"/>
        </w:tabs>
        <w:numPr>
          <w:ilvl w:val="0"/>
          <w:numId w:val="70"/>
        </w:numPr>
        <w:rPr>
          <w:rFonts w:ascii="Arial" w:cs="Arial" w:eastAsia="Arial" w:hAnsi="Arial"/>
          <w:sz w:val="40"/>
          <w:szCs w:val="40"/>
          <w:color w:val="auto"/>
        </w:rPr>
      </w:pPr>
      <w:r>
        <w:rPr>
          <w:rFonts w:ascii="Arial" w:cs="Arial" w:eastAsia="Arial" w:hAnsi="Arial"/>
          <w:sz w:val="40"/>
          <w:szCs w:val="40"/>
          <w:color w:val="auto"/>
        </w:rPr>
        <w:t>Proposal 2: Ratification of Ernst &amp; Young LLP as Our Independent Registered Public Accounting Firm for Fiscal Year 2026</w:t>
      </w:r>
    </w:p>
    <w:p>
      <w:pPr>
        <w:spacing w:after="0" w:line="3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audit committee of the Board has selected Ernst &amp; Young LLP as the independent registered public accounting firm for fiscal year 2026. Shareholder ratification of the appointment is not legally required but the audit committee has decided to request that the shareholders ratify the appointment. A representative of Ernst &amp; Young LLP will be present at the annual meeting to answer appropriate questions from shareholders and will have the opportunity to make a statement on behalf of the firm, if desired.</w:t>
      </w:r>
    </w:p>
    <w:p>
      <w:pPr>
        <w:spacing w:after="0" w:line="13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If this proposal is not approved by our shareholders at the annual meeting, the audit committee will reconsider its selection of Ernst &amp; Young LLP. Even if the selection is ratified, the audit committee may, in its discretion, select a different registered public accounting firm at any point during the year if it determines that making a change would be in the best interests of the Company and our shareholders.</w:t>
      </w:r>
    </w:p>
    <w:p>
      <w:pPr>
        <w:spacing w:after="0" w:line="119"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C43776"/>
        </w:rPr>
        <w:t>“FOR”</w:t>
      </w:r>
      <w:r>
        <w:rPr>
          <w:rFonts w:ascii="Arial" w:cs="Arial" w:eastAsia="Arial" w:hAnsi="Arial"/>
          <w:sz w:val="16"/>
          <w:szCs w:val="16"/>
          <w:b w:val="1"/>
          <w:bCs w:val="1"/>
          <w:color w:val="auto"/>
        </w:rPr>
        <w:t xml:space="preserve"> the ratification of Ernst &amp; Young LLP as our independent registered public accounting firm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70</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60"/>
          </w:cols>
          <w:pgMar w:left="1400" w:top="1440" w:right="1439" w:bottom="1440" w:gutter="0" w:footer="0" w:header="0"/>
        </w:sectPr>
      </w:pPr>
    </w:p>
    <w:bookmarkStart w:id="76" w:name="page77"/>
    <w:bookmarkEnd w:id="7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right="460" w:firstLine="8"/>
        <w:spacing w:after="0" w:line="280" w:lineRule="auto"/>
        <w:tabs>
          <w:tab w:leader="none" w:pos="660" w:val="left"/>
        </w:tabs>
        <w:numPr>
          <w:ilvl w:val="0"/>
          <w:numId w:val="71"/>
        </w:numPr>
        <w:rPr>
          <w:rFonts w:ascii="Arial" w:cs="Arial" w:eastAsia="Arial" w:hAnsi="Arial"/>
          <w:sz w:val="40"/>
          <w:szCs w:val="40"/>
          <w:color w:val="auto"/>
        </w:rPr>
      </w:pPr>
      <w:r>
        <w:rPr>
          <w:rFonts w:ascii="Arial" w:cs="Arial" w:eastAsia="Arial" w:hAnsi="Arial"/>
          <w:sz w:val="40"/>
          <w:szCs w:val="40"/>
          <w:color w:val="auto"/>
        </w:rPr>
        <w:t>Proposal 3: Advisory Vote to Approve Named Executive Officer Compensation</w:t>
      </w:r>
    </w:p>
    <w:p>
      <w:pPr>
        <w:spacing w:after="0" w:line="28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Board and our shareholders have determined to hold an advisory vote on executive compensation, as required pursuant to Section 14A of the Exchange Act, every year. Accordingly, we are asking shareholders to vote to approve the 2025 compensation of our named executive officers as such compensation is disclosed pursuant to Item 402 of the SEC’s Regulation S-K, including the Compensation Discussion and Analysis, the compensation tables, and other narrative compensation disclosures required by Item 402. This Proxy Statement contains all of these required disclosures. The following resolution is submitted:</w:t>
      </w:r>
    </w:p>
    <w:p>
      <w:pPr>
        <w:spacing w:after="0" w:line="136" w:lineRule="exact"/>
        <w:rPr>
          <w:sz w:val="20"/>
          <w:szCs w:val="20"/>
          <w:color w:val="auto"/>
        </w:rPr>
      </w:pPr>
    </w:p>
    <w:p>
      <w:pPr>
        <w:ind w:left="340" w:right="100"/>
        <w:spacing w:after="0" w:line="275" w:lineRule="auto"/>
        <w:rPr>
          <w:sz w:val="20"/>
          <w:szCs w:val="20"/>
          <w:color w:val="auto"/>
        </w:rPr>
      </w:pPr>
      <w:r>
        <w:rPr>
          <w:rFonts w:ascii="Arial" w:cs="Arial" w:eastAsia="Arial" w:hAnsi="Arial"/>
          <w:sz w:val="16"/>
          <w:szCs w:val="16"/>
          <w:color w:val="auto"/>
        </w:rPr>
        <w:t>RESOLVED, that the compensation paid to our named executive officers, as disclosed pursuant to Item 402 of the SEC’s Regulation S-K, including the Compensation Discussion and Analysis, compensation tables and other narrative compensation disclosure set forth in this Proxy Statement is hereby APPROVED.</w:t>
      </w:r>
    </w:p>
    <w:p>
      <w:pPr>
        <w:spacing w:after="0" w:line="1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Because the vote on this proposal is advisory, it will not affect compensation already paid or awarded to any named executive officer and will not be binding on the Company, the Board, or the compensation committee. The Board and compensation committee, however, will review the voting results and take into account the outcome in determining future annual compensation for the named executive officers.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conduct a say-on-pay vote annually. Our next say-on-pay vote is expected to occur at the 2027 annual meeting of shareholders.</w:t>
      </w:r>
    </w:p>
    <w:p>
      <w:pPr>
        <w:spacing w:after="0" w:line="102"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C43776"/>
        </w:rPr>
        <w:t>“FOR”</w:t>
      </w:r>
      <w:r>
        <w:rPr>
          <w:rFonts w:ascii="Arial" w:cs="Arial" w:eastAsia="Arial" w:hAnsi="Arial"/>
          <w:sz w:val="16"/>
          <w:szCs w:val="16"/>
          <w:b w:val="1"/>
          <w:bCs w:val="1"/>
          <w:color w:val="auto"/>
        </w:rPr>
        <w:t xml:space="preserve"> the approval of named executive officer compensation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71</w:t>
      </w:r>
    </w:p>
    <w:p>
      <w:pPr>
        <w:sectPr>
          <w:pgSz w:w="11900" w:h="16838" w:orient="portrait"/>
          <w:cols w:equalWidth="0" w:num="1">
            <w:col w:w="9080"/>
          </w:cols>
          <w:pgMar w:left="1400" w:top="1440" w:right="1419" w:bottom="1440" w:gutter="0" w:footer="0" w:header="0"/>
        </w:sectPr>
      </w:pPr>
    </w:p>
    <w:bookmarkStart w:id="77" w:name="page78"/>
    <w:bookmarkEnd w:id="7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right="1900" w:firstLine="8"/>
        <w:spacing w:after="0" w:line="280" w:lineRule="auto"/>
        <w:tabs>
          <w:tab w:leader="none" w:pos="660" w:val="left"/>
        </w:tabs>
        <w:numPr>
          <w:ilvl w:val="0"/>
          <w:numId w:val="72"/>
        </w:numPr>
        <w:rPr>
          <w:rFonts w:ascii="Arial" w:cs="Arial" w:eastAsia="Arial" w:hAnsi="Arial"/>
          <w:sz w:val="40"/>
          <w:szCs w:val="40"/>
          <w:color w:val="auto"/>
        </w:rPr>
      </w:pPr>
      <w:r>
        <w:rPr>
          <w:rFonts w:ascii="Arial" w:cs="Arial" w:eastAsia="Arial" w:hAnsi="Arial"/>
          <w:sz w:val="40"/>
          <w:szCs w:val="40"/>
          <w:color w:val="auto"/>
        </w:rPr>
        <w:t>Proposal 4: Shareholder Proposal for 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including the Corporate Governance Guidelines in order that 2 separate people hold the office of the Chairman and the office of the CEO as soon as possible.</w:t>
      </w:r>
    </w:p>
    <w:p>
      <w:pPr>
        <w:spacing w:after="0" w:line="110"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The Chairman of the Board shall be an Independent Director. A Lead Director shall not be a substitute for an independent Board Chairman.</w:t>
      </w:r>
    </w:p>
    <w:p>
      <w:pPr>
        <w:spacing w:after="0" w:line="8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Board shall have the discretion to select an interim Chairman of the Board, who is not an Independent Director, to serve while the Board is required to seek an Independent Chairman of the Board on an accelerated basis. This policy could be phased in when there is a contract renewal for our current CEO or for the next CEO transition although it is better to adopt it now.</w:t>
      </w:r>
    </w:p>
    <w:p>
      <w:pPr>
        <w:spacing w:after="0" w:line="13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An independent Board Chairman at all times improves corporate governance by bringing impartiality, objective oversight, and external expertise to board decisions, mitigating conflicts of interest, enhancing transparency, and boosting shareholder confidence.</w:t>
      </w:r>
    </w:p>
    <w:p>
      <w:pPr>
        <w:spacing w:after="0" w:line="11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detached perspective allows the chairman to focus on shareholder interests, strengthen management accountability, and provide critical checks and balances, ultimately contributing to long-term sustainability and credibility.</w:t>
      </w:r>
    </w:p>
    <w:p>
      <w:pPr>
        <w:spacing w:after="0" w:line="115"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This proposal received 48%-support at the 2024 CPAY annual meeting. This 48%-support would have exceeded 50% comfortably if all Corpay shareholders had access to independent proxy voting advice.</w:t>
      </w:r>
    </w:p>
    <w:p>
      <w:pPr>
        <w:spacing w:after="0" w:line="11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Now could be a ripe time for this policy since Corpay stock was at $329 in 2020 and was down to $255 in late 2025 despite a robust stock market.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Plus challenging news reports regarding Corpay emerged in 2025.</w:t>
      </w:r>
    </w:p>
    <w:p>
      <w:pPr>
        <w:spacing w:after="0" w:line="18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Multiple law firms, including Purcell &amp; Lefkowitz LLP and Wohl &amp; Fruchter, announced investigations into Corpay and AvidXchange (which Corpay is acquiring a stake in) on behalf of shareholders.</w:t>
      </w:r>
    </w:p>
    <w:p>
      <w:pPr>
        <w:spacing w:after="0" w:line="11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These investigations question whether Corpay’s directors breached their fiduciary duties and if the acquisition price for AvidXchange was fair to its public shareholders, as certain AvidXchange management members are rolling over their equity rather than cashing out like public shareholders.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Corpay’s stock experienced significant declines during 2025, falling 21% since the beginning of the year and 31% below its 52-week high. This was attributed to various factors, including:</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Broader sector headwinds and negative reaction in the financial technology space, sometimes triggered by mixed results from peer companies like Fiserv.</w:t>
      </w:r>
    </w:p>
    <w:p>
      <w:pPr>
        <w:spacing w:after="0" w:line="10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Specific challenges highlighted in Q1 2025 earnings calls, such as a $6 million shortfall due to unfavorable fuel price spreads and an expected $10-$15 million impact on cross-border revenue from U.S. tariff policies.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Rising interest expenses also contributed to shareholder caution.</w:t>
      </w:r>
    </w:p>
    <w:p>
      <w:pPr>
        <w:spacing w:after="0" w:line="18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Corpay announced in March 2025 that its Chief Financial Officer was leaving to join a non-profit firm. High-level executive departures can sometimes be viewed unfavorably by shareholders seeking stability.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C43776"/>
        </w:rPr>
        <w:t xml:space="preserve">Please vote yes: </w:t>
      </w:r>
      <w:r>
        <w:rPr>
          <w:rFonts w:ascii="Arial" w:cs="Arial" w:eastAsia="Arial" w:hAnsi="Arial"/>
          <w:sz w:val="16"/>
          <w:szCs w:val="16"/>
          <w:b w:val="1"/>
          <w:bCs w:val="1"/>
          <w:color w:val="000000"/>
        </w:rPr>
        <w:t>Independent Board Chairman -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72</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1440" w:right="1419" w:bottom="1440" w:gutter="0" w:footer="0" w:header="0"/>
        </w:sectPr>
      </w:pPr>
    </w:p>
    <w:bookmarkStart w:id="78" w:name="page79"/>
    <w:bookmarkEnd w:id="78"/>
    <w:p>
      <w:pPr>
        <w:ind w:left="60"/>
        <w:spacing w:after="0"/>
        <w:tabs>
          <w:tab w:leader="none" w:pos="374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20. PROPOSAL 4: SHAREHOLDER PROPOSAL FOR INDEPENDENT BOARD CHAIRMAN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color w:val="C43776"/>
        </w:rPr>
        <w:t>Board of Directors Statement of Opposition</w:t>
      </w:r>
    </w:p>
    <w:p>
      <w:pPr>
        <w:spacing w:after="0" w:line="208"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b w:val="1"/>
          <w:bCs w:val="1"/>
          <w:color w:val="auto"/>
        </w:rPr>
        <w:t xml:space="preserve">The Board recommends a vote </w:t>
      </w:r>
      <w:r>
        <w:rPr>
          <w:rFonts w:ascii="Arial" w:cs="Arial" w:eastAsia="Arial" w:hAnsi="Arial"/>
          <w:sz w:val="15"/>
          <w:szCs w:val="15"/>
          <w:b w:val="1"/>
          <w:bCs w:val="1"/>
          <w:color w:val="C43776"/>
        </w:rPr>
        <w:t>AGAINST</w:t>
      </w:r>
      <w:r>
        <w:rPr>
          <w:rFonts w:ascii="Arial" w:cs="Arial" w:eastAsia="Arial" w:hAnsi="Arial"/>
          <w:sz w:val="15"/>
          <w:szCs w:val="15"/>
          <w:b w:val="1"/>
          <w:bCs w:val="1"/>
          <w:color w:val="auto"/>
        </w:rPr>
        <w:t xml:space="preserve"> this proposal, submitted by John Chevedden, whose address and share ownership will be furnished promptly by the Company upon receipt of an oral or written request.</w:t>
      </w:r>
    </w:p>
    <w:p>
      <w:pPr>
        <w:spacing w:after="0" w:line="49"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 Board has carefully considered the shareholder proposal and believes that permanently prescribing a leadership structure for the Company and requiring the appointment of an independent Board Chairman is not in the best interests of the Company or its shareholders.</w:t>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Board believes that it should have the flexibility to consider all relevant factors and select the most appropriate leadership structure for the Company’s circumstances, at any given time. The current Board leadership structure, together with the Board’s other practices described below and elsewhere in this Proxy Statement, already provides effective independent oversight of management, promotes Board accountability and responsiveness to shareholders, and facilitates our execution on strategic priorities. The appointment of a Lead Independent Director precludes the need to permanently separate the role of CEO and Chairman of the Board. The Lead Independent Director serves a one-year term, which expires at each annual meeting of shareholders. Currently, Mr. Stull, an independent Director, is the Lead Independent Director. Mr. Stull has served as Lead Independent Director since 2020, with his term ending at the annual meeting. The Board expects that, if elected at the annual meeting, Mr. Stull will be appointed to serve another term as Lead Independent Director until the 2027 annual meeting.</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Mr. Stull is the Founder and CEO of Advantage Capital Partners, a private equity firm, which, since formation, has invested $4.1 billion in over 900 companies, spanning a diverse array of industry sectors. Prior to founding Advantage Capital Partners, Mr. Stull served for nine years as an executive in the investment department of General American Life Insurance Company, heading its securities division and personally managing its high yield, convertible, and preferred stock portfolios. Mr. Stull has served as a director for public and private companies, including serving as member of audit and compensation committees. Mr. Stull is nationally recognized for his leadership efforts in small business capital formation, particularly for businesses located in distressed or underserved communities. He was recognized by Ernst &amp; Young as Entrepreneur of the Year for his sponsorship of entrepreneurship in Louisiana. Because of Mr. Stull’s extensive experience serving customers similar to the Company, his guidance and advice as a member of the Board has been instrumental in the achievement of approximately 20% CAGR Adjusted EPS growth since going public in 2010. As a highly accomplished executive, his intimate knowledge of the Company’s business experienced through many business cycles has made him a highly effective Company director and an extraordinarily qualified Lead Independent Director. Also, he holds an MBA and bachelor’s degree in finance and economics from Washington University in St. Louis. He has earned the Fellow Life Management Institute/Master designation and the right to use the Chartered Financial Analyst designation.</w:t>
      </w:r>
    </w:p>
    <w:p>
      <w:pPr>
        <w:spacing w:after="0" w:line="87"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Our Corporate Governance Guidelines provide the Board with the flexibility to determine the optimal leadership structure, including separating the positions of Chair and CEO if circumstances warrant. The Board believes that the Directors are best positioned to lead this evaluation given their knowledge of the Company’s leadership team, strategic goals, opportunities and challenges. When the Board established the position of a Lead Independent Director, it assigned the following powers and responsibilities:</w:t>
      </w:r>
    </w:p>
    <w:p>
      <w:pPr>
        <w:spacing w:after="0" w:line="64" w:lineRule="exact"/>
        <w:rPr>
          <w:sz w:val="20"/>
          <w:szCs w:val="20"/>
          <w:color w:val="auto"/>
        </w:rPr>
      </w:pPr>
    </w:p>
    <w:p>
      <w:pPr>
        <w:ind w:left="340" w:hanging="251"/>
        <w:spacing w:after="0"/>
        <w:tabs>
          <w:tab w:leader="none" w:pos="340" w:val="left"/>
        </w:tabs>
        <w:numPr>
          <w:ilvl w:val="0"/>
          <w:numId w:val="73"/>
        </w:numPr>
        <w:rPr>
          <w:rFonts w:ascii="Arial" w:cs="Arial" w:eastAsia="Arial" w:hAnsi="Arial"/>
          <w:sz w:val="15"/>
          <w:szCs w:val="15"/>
          <w:color w:val="BE1549"/>
        </w:rPr>
      </w:pPr>
      <w:r>
        <w:rPr>
          <w:rFonts w:ascii="Arial" w:cs="Arial" w:eastAsia="Arial" w:hAnsi="Arial"/>
          <w:sz w:val="15"/>
          <w:szCs w:val="15"/>
          <w:color w:val="auto"/>
        </w:rPr>
        <w:t>Preside at all meetings of the Board at which the Chair of the Board is not present;</w:t>
      </w:r>
    </w:p>
    <w:p>
      <w:pPr>
        <w:spacing w:after="0" w:line="70" w:lineRule="exact"/>
        <w:rPr>
          <w:rFonts w:ascii="Arial" w:cs="Arial" w:eastAsia="Arial" w:hAnsi="Arial"/>
          <w:sz w:val="15"/>
          <w:szCs w:val="15"/>
          <w:color w:val="BE1549"/>
        </w:rPr>
      </w:pPr>
    </w:p>
    <w:p>
      <w:pPr>
        <w:ind w:left="340" w:hanging="251"/>
        <w:spacing w:after="0"/>
        <w:tabs>
          <w:tab w:leader="none" w:pos="340" w:val="left"/>
        </w:tabs>
        <w:numPr>
          <w:ilvl w:val="0"/>
          <w:numId w:val="73"/>
        </w:numPr>
        <w:rPr>
          <w:rFonts w:ascii="Arial" w:cs="Arial" w:eastAsia="Arial" w:hAnsi="Arial"/>
          <w:sz w:val="15"/>
          <w:szCs w:val="15"/>
          <w:color w:val="BE1549"/>
        </w:rPr>
      </w:pPr>
      <w:r>
        <w:rPr>
          <w:rFonts w:ascii="Arial" w:cs="Arial" w:eastAsia="Arial" w:hAnsi="Arial"/>
          <w:sz w:val="15"/>
          <w:szCs w:val="15"/>
          <w:color w:val="auto"/>
        </w:rPr>
        <w:t>Preside over executive sessions of the non-employee directors;</w:t>
      </w:r>
    </w:p>
    <w:p>
      <w:pPr>
        <w:spacing w:after="0" w:line="70" w:lineRule="exact"/>
        <w:rPr>
          <w:rFonts w:ascii="Arial" w:cs="Arial" w:eastAsia="Arial" w:hAnsi="Arial"/>
          <w:sz w:val="15"/>
          <w:szCs w:val="15"/>
          <w:color w:val="BE1549"/>
        </w:rPr>
      </w:pPr>
    </w:p>
    <w:p>
      <w:pPr>
        <w:ind w:left="340" w:hanging="251"/>
        <w:spacing w:after="0"/>
        <w:tabs>
          <w:tab w:leader="none" w:pos="340" w:val="left"/>
        </w:tabs>
        <w:numPr>
          <w:ilvl w:val="0"/>
          <w:numId w:val="73"/>
        </w:numPr>
        <w:rPr>
          <w:rFonts w:ascii="Arial" w:cs="Arial" w:eastAsia="Arial" w:hAnsi="Arial"/>
          <w:sz w:val="15"/>
          <w:szCs w:val="15"/>
          <w:color w:val="BE1549"/>
        </w:rPr>
      </w:pPr>
      <w:r>
        <w:rPr>
          <w:rFonts w:ascii="Arial" w:cs="Arial" w:eastAsia="Arial" w:hAnsi="Arial"/>
          <w:sz w:val="15"/>
          <w:szCs w:val="15"/>
          <w:color w:val="auto"/>
        </w:rPr>
        <w:t>Serve as liaison between the non-employee directors and the Chair and CEO;</w:t>
      </w:r>
    </w:p>
    <w:p>
      <w:pPr>
        <w:spacing w:after="0" w:line="57" w:lineRule="exact"/>
        <w:rPr>
          <w:rFonts w:ascii="Arial" w:cs="Arial" w:eastAsia="Arial" w:hAnsi="Arial"/>
          <w:sz w:val="15"/>
          <w:szCs w:val="15"/>
          <w:color w:val="BE1549"/>
        </w:rPr>
      </w:pPr>
    </w:p>
    <w:p>
      <w:pPr>
        <w:ind w:left="340" w:hanging="251"/>
        <w:spacing w:after="0"/>
        <w:tabs>
          <w:tab w:leader="none" w:pos="340" w:val="left"/>
        </w:tabs>
        <w:numPr>
          <w:ilvl w:val="0"/>
          <w:numId w:val="73"/>
        </w:numPr>
        <w:rPr>
          <w:rFonts w:ascii="Arial" w:cs="Arial" w:eastAsia="Arial" w:hAnsi="Arial"/>
          <w:sz w:val="15"/>
          <w:szCs w:val="15"/>
          <w:color w:val="BE1549"/>
        </w:rPr>
      </w:pPr>
      <w:r>
        <w:rPr>
          <w:rFonts w:ascii="Arial" w:cs="Arial" w:eastAsia="Arial" w:hAnsi="Arial"/>
          <w:sz w:val="15"/>
          <w:szCs w:val="15"/>
          <w:color w:val="auto"/>
        </w:rPr>
        <w:t>Call meetings of non-employee directors, with appropriate notice;</w:t>
      </w:r>
    </w:p>
    <w:p>
      <w:pPr>
        <w:spacing w:after="0" w:line="70" w:lineRule="exact"/>
        <w:rPr>
          <w:rFonts w:ascii="Arial" w:cs="Arial" w:eastAsia="Arial" w:hAnsi="Arial"/>
          <w:sz w:val="15"/>
          <w:szCs w:val="15"/>
          <w:color w:val="BE1549"/>
        </w:rPr>
      </w:pPr>
    </w:p>
    <w:p>
      <w:pPr>
        <w:ind w:left="340" w:hanging="251"/>
        <w:spacing w:after="0"/>
        <w:tabs>
          <w:tab w:leader="none" w:pos="340" w:val="left"/>
        </w:tabs>
        <w:numPr>
          <w:ilvl w:val="0"/>
          <w:numId w:val="73"/>
        </w:numPr>
        <w:rPr>
          <w:rFonts w:ascii="Arial" w:cs="Arial" w:eastAsia="Arial" w:hAnsi="Arial"/>
          <w:sz w:val="15"/>
          <w:szCs w:val="15"/>
          <w:color w:val="BE1549"/>
        </w:rPr>
      </w:pPr>
      <w:r>
        <w:rPr>
          <w:rFonts w:ascii="Arial" w:cs="Arial" w:eastAsia="Arial" w:hAnsi="Arial"/>
          <w:sz w:val="15"/>
          <w:szCs w:val="15"/>
          <w:color w:val="auto"/>
        </w:rPr>
        <w:t>Coordinate with the Chair and CEO on meeting schedules, agendas and information provided to the Board;</w:t>
      </w:r>
    </w:p>
    <w:p>
      <w:pPr>
        <w:spacing w:after="0" w:line="57" w:lineRule="exact"/>
        <w:rPr>
          <w:rFonts w:ascii="Arial" w:cs="Arial" w:eastAsia="Arial" w:hAnsi="Arial"/>
          <w:sz w:val="15"/>
          <w:szCs w:val="15"/>
          <w:color w:val="BE1549"/>
        </w:rPr>
      </w:pPr>
    </w:p>
    <w:p>
      <w:pPr>
        <w:ind w:left="340" w:hanging="251"/>
        <w:spacing w:after="0"/>
        <w:tabs>
          <w:tab w:leader="none" w:pos="340" w:val="left"/>
        </w:tabs>
        <w:numPr>
          <w:ilvl w:val="0"/>
          <w:numId w:val="73"/>
        </w:numPr>
        <w:rPr>
          <w:rFonts w:ascii="Arial" w:cs="Arial" w:eastAsia="Arial" w:hAnsi="Arial"/>
          <w:sz w:val="15"/>
          <w:szCs w:val="15"/>
          <w:color w:val="BE1549"/>
        </w:rPr>
      </w:pPr>
      <w:r>
        <w:rPr>
          <w:rFonts w:ascii="Arial" w:cs="Arial" w:eastAsia="Arial" w:hAnsi="Arial"/>
          <w:sz w:val="15"/>
          <w:szCs w:val="15"/>
          <w:color w:val="auto"/>
        </w:rPr>
        <w:t>Be available for consultation with significant stockholders if so requested; and</w:t>
      </w:r>
    </w:p>
    <w:p>
      <w:pPr>
        <w:spacing w:after="0" w:line="70" w:lineRule="exact"/>
        <w:rPr>
          <w:rFonts w:ascii="Arial" w:cs="Arial" w:eastAsia="Arial" w:hAnsi="Arial"/>
          <w:sz w:val="15"/>
          <w:szCs w:val="15"/>
          <w:color w:val="BE1549"/>
        </w:rPr>
      </w:pPr>
    </w:p>
    <w:p>
      <w:pPr>
        <w:ind w:left="340" w:right="300" w:hanging="251"/>
        <w:spacing w:after="0" w:line="301" w:lineRule="auto"/>
        <w:tabs>
          <w:tab w:leader="none" w:pos="340" w:val="left"/>
        </w:tabs>
        <w:numPr>
          <w:ilvl w:val="0"/>
          <w:numId w:val="73"/>
        </w:numPr>
        <w:rPr>
          <w:rFonts w:ascii="Arial" w:cs="Arial" w:eastAsia="Arial" w:hAnsi="Arial"/>
          <w:sz w:val="15"/>
          <w:szCs w:val="15"/>
          <w:color w:val="BE1549"/>
        </w:rPr>
      </w:pPr>
      <w:r>
        <w:rPr>
          <w:rFonts w:ascii="Arial" w:cs="Arial" w:eastAsia="Arial" w:hAnsi="Arial"/>
          <w:sz w:val="15"/>
          <w:szCs w:val="15"/>
          <w:color w:val="auto"/>
        </w:rPr>
        <w:t>Exercise and perform such other powers and duties as may be assigned to the Lead Independent Director by the Board from time to time.</w:t>
      </w:r>
    </w:p>
    <w:p>
      <w:pPr>
        <w:spacing w:after="0" w:line="40"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color w:val="auto"/>
        </w:rPr>
        <w:t>Most companies in the S&amp;P 500 do not take a rigid approach to Board leadership structure. According to a 2023 report on Board Leadership and Structure by the Conference Board, 76% of companies in the S&amp;P 500 provide their boards with flexibility to determine its leadership structure and only 17% state that the CEO and Chair role should be separated. In addition, there is no evidence supporting the claim that an independent Chair would improve the Company’s or the Board’s effectiveness. Instead, the Board believes that the current Board leadership structure leads to certain efficiencies and allows the Company to speak with one, clear, unified voice as it tackles the many challenges and opportunities it faces.</w:t>
      </w:r>
    </w:p>
    <w:p>
      <w:pPr>
        <w:spacing w:after="0" w:line="81"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Moreover, Corpay utilizes robust corporate governance practices, as described in more detail in the Corpay, Inc. Corporate Governance Guidelines at https://investor.corpay.com, including maintaining strong, independent oversight on behalf of stockholders and consistently ensuring that each Board committee is led by and composed of independent Directors.</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Given the demonstrated successes of the Company’s Chair and CEO, the robust role and responsibilities of our Lead Independent Director and Corpay’s strong Board and corporate governance practices, the Board believes it is in the best interests of the Company and its stockholders to maintain the flexibility to determine the appropriate leadership structure for the Company.</w:t>
      </w:r>
    </w:p>
    <w:p>
      <w:pPr>
        <w:spacing w:after="0" w:line="111" w:lineRule="exact"/>
        <w:rPr>
          <w:sz w:val="20"/>
          <w:szCs w:val="20"/>
          <w:color w:val="auto"/>
        </w:rPr>
      </w:pPr>
    </w:p>
    <w:p>
      <w:pPr>
        <w:ind w:right="500"/>
        <w:spacing w:after="0" w:line="315" w:lineRule="auto"/>
        <w:rPr>
          <w:sz w:val="20"/>
          <w:szCs w:val="20"/>
          <w:color w:val="auto"/>
        </w:rPr>
      </w:pPr>
      <w:r>
        <w:rPr>
          <w:rFonts w:ascii="Arial" w:cs="Arial" w:eastAsia="Arial" w:hAnsi="Arial"/>
          <w:sz w:val="15"/>
          <w:szCs w:val="15"/>
          <w:b w:val="1"/>
          <w:bCs w:val="1"/>
          <w:color w:val="auto"/>
        </w:rPr>
        <w:t xml:space="preserve">The Board of Directors believes that this proposal is not in the best interests of the Company or our stockholders and unanimously recommends that you vote </w:t>
      </w:r>
      <w:r>
        <w:rPr>
          <w:rFonts w:ascii="Arial" w:cs="Arial" w:eastAsia="Arial" w:hAnsi="Arial"/>
          <w:sz w:val="15"/>
          <w:szCs w:val="15"/>
          <w:b w:val="1"/>
          <w:bCs w:val="1"/>
          <w:color w:val="C43776"/>
        </w:rPr>
        <w:t>“AGAINST”</w:t>
      </w:r>
      <w:r>
        <w:rPr>
          <w:rFonts w:ascii="Arial" w:cs="Arial" w:eastAsia="Arial" w:hAnsi="Arial"/>
          <w:sz w:val="15"/>
          <w:szCs w:val="15"/>
          <w:b w:val="1"/>
          <w:bCs w:val="1"/>
          <w:color w:val="auto"/>
        </w:rPr>
        <w:t xml:space="preserve"> this proposal.</w:t>
      </w:r>
    </w:p>
    <w:p>
      <w:pPr>
        <w:spacing w:after="0" w:line="200" w:lineRule="exact"/>
        <w:rPr>
          <w:sz w:val="20"/>
          <w:szCs w:val="20"/>
          <w:color w:val="auto"/>
        </w:rPr>
      </w:pPr>
    </w:p>
    <w:p>
      <w:pPr>
        <w:spacing w:after="0" w:line="221"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73</w:t>
      </w:r>
    </w:p>
    <w:p>
      <w:pPr>
        <w:sectPr>
          <w:pgSz w:w="11900" w:h="16838" w:orient="portrait"/>
          <w:cols w:equalWidth="0" w:num="1">
            <w:col w:w="9060"/>
          </w:cols>
          <w:pgMar w:left="1400" w:top="810" w:right="1439" w:bottom="1440" w:gutter="0" w:footer="0" w:header="0"/>
        </w:sectPr>
      </w:pPr>
    </w:p>
    <w:bookmarkStart w:id="79" w:name="page80"/>
    <w:bookmarkEnd w:id="7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21. Other Business</w:t>
      </w:r>
    </w:p>
    <w:p>
      <w:pPr>
        <w:spacing w:after="0" w:line="200" w:lineRule="exact"/>
        <w:rPr>
          <w:sz w:val="20"/>
          <w:szCs w:val="20"/>
          <w:color w:val="auto"/>
        </w:rPr>
      </w:pPr>
    </w:p>
    <w:p>
      <w:pPr>
        <w:spacing w:after="0" w:line="222" w:lineRule="exact"/>
        <w:rPr>
          <w:sz w:val="20"/>
          <w:szCs w:val="20"/>
          <w:color w:val="auto"/>
        </w:rPr>
      </w:pPr>
    </w:p>
    <w:p>
      <w:pPr>
        <w:ind w:right="199"/>
        <w:spacing w:after="0" w:line="265" w:lineRule="auto"/>
        <w:rPr>
          <w:sz w:val="20"/>
          <w:szCs w:val="20"/>
          <w:color w:val="auto"/>
        </w:rPr>
      </w:pPr>
      <w:r>
        <w:rPr>
          <w:rFonts w:ascii="Arial" w:cs="Arial" w:eastAsia="Arial" w:hAnsi="Arial"/>
          <w:sz w:val="16"/>
          <w:szCs w:val="16"/>
          <w:color w:val="auto"/>
        </w:rPr>
        <w:t>We know of no other business to be considered at the meeting and the deadline for shareholders to submit proposals or nominations has passed. However, if other matters are properly presented at the meeting, or at any adjournment or postponement of the meeting, and you have properly submitted your proxy, then the named proxies will vote your shares on those matters according to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74</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59"/>
          </w:cols>
          <w:pgMar w:left="1400" w:top="1440" w:right="1440" w:bottom="1440" w:gutter="0" w:footer="0" w:header="0"/>
        </w:sectPr>
      </w:pPr>
    </w:p>
    <w:bookmarkStart w:id="80" w:name="page81"/>
    <w:bookmarkEnd w:id="8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22. Additional Information</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C43776"/>
        </w:rPr>
        <w:t>Shareholder Proposals</w:t>
      </w:r>
    </w:p>
    <w:p>
      <w:pPr>
        <w:spacing w:after="0" w:line="15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Any proposal that a shareholder wishes to be considered for inclusion in our Proxy Statement and Proxy Card for the 2027 annual meeting of shareholders must comply with the requirements of Rule 14a-8 under the Exchange Act and be received no later than December 11, 2026 at the following address, Corpay, Inc., Attention: Corporate Secretary, 3280 Peachtree Road, Suite 2400, Atlanta, Georgia 30305.</w:t>
      </w:r>
    </w:p>
    <w:p>
      <w:pPr>
        <w:spacing w:after="0" w:line="1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However, in the event that the annual meeting is called for a date that is not within 30 days before or after May 7, 2027, notice must be received a reasonable time before we begin to print and mail our proxy materials for the 2027 annual meeting of shareholders.</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If a shareholder wishes to present a proposal before the 2027 annual meeting but does not wish to have a proposal considered for inclusion in our Proxy Statement and proxy in accordance with Rule 14a-8 or to nominate someone for election as a director, the shareholder must give written notice to our Corporate Secretary at the address noted above. To be timely, a shareholder’s notice to the Corporate Secretary must be received no earlier than January 7, 2027, which is 120 days prior to the anniversary of this year’s annual meeting, and no later than February 6, 2027, which is 90 days prior to the anniversary of this year’s annual meeting. However, in the event that the annual meeting is called for a date that is not within thirty days before or after May 7, 2027, notice by the shareholder must be received by the later of the tenth day following the date of the public announcement and the 90th day prior to the annual meeting. Our Bylaws contain specific procedural requirements regarding a shareholder’s ability to nominate a director or submit a proposal to be considered at a meeting of shareholders. The Bylaws are available on our website at https://investor.corpay.com under Governance.</w:t>
      </w:r>
    </w:p>
    <w:p>
      <w:pPr>
        <w:spacing w:after="0" w:line="116" w:lineRule="exact"/>
        <w:rPr>
          <w:sz w:val="20"/>
          <w:szCs w:val="20"/>
          <w:color w:val="auto"/>
        </w:rPr>
      </w:pPr>
    </w:p>
    <w:p>
      <w:pPr>
        <w:spacing w:after="0"/>
        <w:rPr>
          <w:sz w:val="20"/>
          <w:szCs w:val="20"/>
          <w:color w:val="auto"/>
        </w:rPr>
      </w:pPr>
      <w:r>
        <w:rPr>
          <w:rFonts w:ascii="Arial" w:cs="Arial" w:eastAsia="Arial" w:hAnsi="Arial"/>
          <w:sz w:val="32"/>
          <w:szCs w:val="32"/>
          <w:color w:val="C43776"/>
        </w:rPr>
        <w:t>Universal Proxy Rules</w:t>
      </w:r>
    </w:p>
    <w:p>
      <w:pPr>
        <w:spacing w:after="0" w:line="15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addition to satisfying the requirements under our Bylaws, if a shareholder intends to comply with the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our Corporate Secretary at the address noted above no later than 60 calendar days prior to the one-year anniversary of this year’s annual meeting (for the 2027 annual meeting, no later than March 8, 2027). However, in the event that the 2027 annual meeting is called for a date that is not within thirty days of May 7, 2027, notice by the shareholder must be received by the later of (i) the 135th day before such annual meeting or (ii) the tenth day following Corpay’s first public announcement of the date of such meeting.</w:t>
      </w:r>
    </w:p>
    <w:p>
      <w:pPr>
        <w:spacing w:after="0" w:line="111" w:lineRule="exact"/>
        <w:rPr>
          <w:sz w:val="20"/>
          <w:szCs w:val="20"/>
          <w:color w:val="auto"/>
        </w:rPr>
      </w:pPr>
    </w:p>
    <w:p>
      <w:pPr>
        <w:spacing w:after="0"/>
        <w:rPr>
          <w:sz w:val="20"/>
          <w:szCs w:val="20"/>
          <w:color w:val="auto"/>
        </w:rPr>
      </w:pPr>
      <w:r>
        <w:rPr>
          <w:rFonts w:ascii="Arial" w:cs="Arial" w:eastAsia="Arial" w:hAnsi="Arial"/>
          <w:sz w:val="32"/>
          <w:szCs w:val="32"/>
          <w:color w:val="C43776"/>
        </w:rPr>
        <w:t>Solicitation of Proxies</w:t>
      </w:r>
    </w:p>
    <w:p>
      <w:pPr>
        <w:spacing w:after="0" w:line="159"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The Company is paying the costs of the solicitation of proxies. We have retained D.F. King &amp; Co., Inc. to assist in the solicitation of proxies from beneficial owners of shares for the annual meeting. We have agreed to pay D.F. King a fee of approximately $20,000 per year plus out-of-pocket expenses. You may contact D.F. King at (888) 548-6498.</w:t>
      </w:r>
    </w:p>
    <w:p>
      <w:pPr>
        <w:spacing w:after="0" w:line="13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Proxies may be solicited by officers, directors and regular supervisory and executive employees of the Company, none of whom will receive any additional compensation for their services. These solicitations may be made personally or by mail, facsimile, telephone, messenger, or via the Internet. The Company will pay persons holding common shares in their names or in the names of nominees, but not owning such shares beneficially, such as brokerage houses, banks, and other fiduciaries, in accordance with NYSE Rule 451 for the expense of forwarding solicitation materials to their principals. The Company will pay all proxy solicitation costs in accordance with NYSE Rule 451.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75</w:t>
      </w:r>
    </w:p>
    <w:p>
      <w:pPr>
        <w:sectPr>
          <w:pgSz w:w="11900" w:h="16838" w:orient="portrait"/>
          <w:cols w:equalWidth="0" w:num="1">
            <w:col w:w="9080"/>
          </w:cols>
          <w:pgMar w:left="1400" w:top="1440" w:right="1419" w:bottom="1440" w:gutter="0" w:footer="0" w:header="0"/>
        </w:sectPr>
      </w:pPr>
    </w:p>
    <w:bookmarkStart w:id="81" w:name="page82"/>
    <w:bookmarkEnd w:id="81"/>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22. ADDITIONAL INFORMATION</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color w:val="C43776"/>
        </w:rPr>
        <w:t>Voting Procedures</w:t>
      </w:r>
    </w:p>
    <w:p>
      <w:pPr>
        <w:spacing w:after="0" w:line="15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Tabulation of Votes: </w:t>
      </w:r>
      <w:r>
        <w:rPr>
          <w:rFonts w:ascii="Arial" w:cs="Arial" w:eastAsia="Arial" w:hAnsi="Arial"/>
          <w:sz w:val="16"/>
          <w:szCs w:val="16"/>
          <w:color w:val="auto"/>
        </w:rPr>
        <w:t>Broadridge Investor Communication Solutions, Inc. will tabulate votes cast by proxy or in person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We will report the results in a Form 8-K filed with the SEC within four business days of the annual meeting.</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Vote Required; Effect of an Abstention and Broker Non-Votes: </w:t>
      </w:r>
      <w:r>
        <w:rPr>
          <w:rFonts w:ascii="Arial" w:cs="Arial" w:eastAsia="Arial" w:hAnsi="Arial"/>
          <w:sz w:val="16"/>
          <w:szCs w:val="16"/>
          <w:color w:val="auto"/>
        </w:rPr>
        <w:t>The shares of a holder whose ballot on any or all proposals</w:t>
      </w:r>
      <w:r>
        <w:rPr>
          <w:rFonts w:ascii="Arial" w:cs="Arial" w:eastAsia="Arial" w:hAnsi="Arial"/>
          <w:sz w:val="16"/>
          <w:szCs w:val="16"/>
          <w:b w:val="1"/>
          <w:bCs w:val="1"/>
          <w:color w:val="auto"/>
        </w:rPr>
        <w:t xml:space="preserve"> </w:t>
      </w:r>
      <w:r>
        <w:rPr>
          <w:rFonts w:ascii="Arial" w:cs="Arial" w:eastAsia="Arial" w:hAnsi="Arial"/>
          <w:sz w:val="16"/>
          <w:szCs w:val="16"/>
          <w:color w:val="auto"/>
        </w:rPr>
        <w:t>is marked as “abstain” will be included in the number of shares present at the annual meeting for the purpose of determining the presence of a quorum. If you are the beneficial owner of shares held by a broker or other custodian, you may instruct your broker how you would like your shares voted. If you wish to vote the shares you own beneficially at the meeting, you must first request and obtain a proxy from your broker or other custodian. If you choose not to provide instructions or a legal proxy, your shares are referred to as uninstructed shares. Whether your broker or custodian has the discretion to vote these shares on your behalf depends on the ballot item. The table below summarizes the vote threshold required for passage of each proposal and the effect of abstentions and uninstructed shares held by brokers.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00" w:type="dxa"/>
            <w:vAlign w:val="bottom"/>
            <w:shd w:val="clear" w:color="auto" w:fill="C43776"/>
          </w:tcPr>
          <w:p>
            <w:pPr>
              <w:spacing w:after="0"/>
              <w:rPr>
                <w:sz w:val="24"/>
                <w:szCs w:val="24"/>
                <w:color w:val="auto"/>
              </w:rPr>
            </w:pPr>
          </w:p>
        </w:tc>
        <w:tc>
          <w:tcPr>
            <w:tcW w:w="720" w:type="dxa"/>
            <w:vAlign w:val="bottom"/>
            <w:shd w:val="clear" w:color="auto" w:fill="C43776"/>
          </w:tcPr>
          <w:p>
            <w:pPr>
              <w:spacing w:after="0"/>
              <w:rPr>
                <w:sz w:val="24"/>
                <w:szCs w:val="24"/>
                <w:color w:val="auto"/>
              </w:rPr>
            </w:pPr>
          </w:p>
        </w:tc>
        <w:tc>
          <w:tcPr>
            <w:tcW w:w="3120" w:type="dxa"/>
            <w:vAlign w:val="bottom"/>
            <w:shd w:val="clear" w:color="auto" w:fill="C43776"/>
          </w:tcPr>
          <w:p>
            <w:pPr>
              <w:spacing w:after="0"/>
              <w:rPr>
                <w:sz w:val="24"/>
                <w:szCs w:val="24"/>
                <w:color w:val="auto"/>
              </w:rPr>
            </w:pPr>
          </w:p>
        </w:tc>
        <w:tc>
          <w:tcPr>
            <w:tcW w:w="110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Vote</w:t>
            </w:r>
          </w:p>
        </w:tc>
        <w:tc>
          <w:tcPr>
            <w:tcW w:w="1060" w:type="dxa"/>
            <w:vAlign w:val="bottom"/>
            <w:shd w:val="clear" w:color="auto" w:fill="C43776"/>
          </w:tcPr>
          <w:p>
            <w:pPr>
              <w:spacing w:after="0"/>
              <w:rPr>
                <w:sz w:val="24"/>
                <w:szCs w:val="24"/>
                <w:color w:val="auto"/>
              </w:rPr>
            </w:pPr>
          </w:p>
        </w:tc>
        <w:tc>
          <w:tcPr>
            <w:tcW w:w="1400" w:type="dxa"/>
            <w:vAlign w:val="bottom"/>
            <w:shd w:val="clear" w:color="auto" w:fill="C43776"/>
          </w:tcPr>
          <w:p>
            <w:pPr>
              <w:spacing w:after="0"/>
              <w:rPr>
                <w:sz w:val="24"/>
                <w:szCs w:val="24"/>
                <w:color w:val="auto"/>
              </w:rPr>
            </w:pPr>
          </w:p>
        </w:tc>
        <w:tc>
          <w:tcPr>
            <w:tcW w:w="1580" w:type="dxa"/>
            <w:vAlign w:val="bottom"/>
            <w:shd w:val="clear" w:color="auto" w:fill="C43776"/>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C43776"/>
          </w:tcPr>
          <w:p>
            <w:pPr>
              <w:spacing w:after="0"/>
              <w:rPr>
                <w:sz w:val="15"/>
                <w:szCs w:val="15"/>
                <w:color w:val="auto"/>
              </w:rPr>
            </w:pPr>
          </w:p>
        </w:tc>
        <w:tc>
          <w:tcPr>
            <w:tcW w:w="720" w:type="dxa"/>
            <w:vAlign w:val="bottom"/>
            <w:shd w:val="clear" w:color="auto" w:fill="C43776"/>
          </w:tcPr>
          <w:p>
            <w:pPr>
              <w:jc w:val="center"/>
              <w:spacing w:after="0"/>
              <w:rPr>
                <w:sz w:val="20"/>
                <w:szCs w:val="20"/>
                <w:color w:val="auto"/>
              </w:rPr>
            </w:pPr>
            <w:r>
              <w:rPr>
                <w:rFonts w:ascii="Arial" w:cs="Arial" w:eastAsia="Arial" w:hAnsi="Arial"/>
                <w:sz w:val="14"/>
                <w:szCs w:val="14"/>
                <w:b w:val="1"/>
                <w:bCs w:val="1"/>
                <w:color w:val="FFFFFF"/>
              </w:rPr>
              <w:t>Proposal</w:t>
            </w:r>
          </w:p>
        </w:tc>
        <w:tc>
          <w:tcPr>
            <w:tcW w:w="3120" w:type="dxa"/>
            <w:vAlign w:val="bottom"/>
            <w:shd w:val="clear" w:color="auto" w:fill="C43776"/>
          </w:tcPr>
          <w:p>
            <w:pPr>
              <w:spacing w:after="0"/>
              <w:rPr>
                <w:sz w:val="15"/>
                <w:szCs w:val="15"/>
                <w:color w:val="auto"/>
              </w:rPr>
            </w:pPr>
          </w:p>
        </w:tc>
        <w:tc>
          <w:tcPr>
            <w:tcW w:w="110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Required for</w:t>
            </w:r>
          </w:p>
        </w:tc>
        <w:tc>
          <w:tcPr>
            <w:tcW w:w="1060" w:type="dxa"/>
            <w:vAlign w:val="bottom"/>
            <w:shd w:val="clear" w:color="auto" w:fill="C43776"/>
          </w:tcPr>
          <w:p>
            <w:pPr>
              <w:spacing w:after="0"/>
              <w:rPr>
                <w:sz w:val="15"/>
                <w:szCs w:val="15"/>
                <w:color w:val="auto"/>
              </w:rPr>
            </w:pPr>
          </w:p>
        </w:tc>
        <w:tc>
          <w:tcPr>
            <w:tcW w:w="140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Uninstructed</w:t>
            </w:r>
          </w:p>
        </w:tc>
        <w:tc>
          <w:tcPr>
            <w:tcW w:w="158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Board Voting</w:t>
            </w:r>
          </w:p>
        </w:tc>
        <w:tc>
          <w:tcPr>
            <w:tcW w:w="0" w:type="dxa"/>
            <w:vAlign w:val="bottom"/>
          </w:tcPr>
          <w:p>
            <w:pPr>
              <w:spacing w:after="0"/>
              <w:rPr>
                <w:sz w:val="1"/>
                <w:szCs w:val="1"/>
                <w:color w:val="auto"/>
              </w:rPr>
            </w:pPr>
          </w:p>
        </w:tc>
      </w:tr>
      <w:tr>
        <w:trPr>
          <w:trHeight w:val="185"/>
        </w:trPr>
        <w:tc>
          <w:tcPr>
            <w:tcW w:w="100" w:type="dxa"/>
            <w:vAlign w:val="bottom"/>
            <w:shd w:val="clear" w:color="auto" w:fill="C43776"/>
          </w:tcPr>
          <w:p>
            <w:pPr>
              <w:spacing w:after="0"/>
              <w:rPr>
                <w:sz w:val="16"/>
                <w:szCs w:val="16"/>
                <w:color w:val="auto"/>
              </w:rPr>
            </w:pPr>
          </w:p>
        </w:tc>
        <w:tc>
          <w:tcPr>
            <w:tcW w:w="72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Number</w:t>
            </w:r>
          </w:p>
        </w:tc>
        <w:tc>
          <w:tcPr>
            <w:tcW w:w="3120" w:type="dxa"/>
            <w:vAlign w:val="bottom"/>
            <w:shd w:val="clear" w:color="auto" w:fill="C43776"/>
          </w:tcPr>
          <w:p>
            <w:pPr>
              <w:ind w:left="180"/>
              <w:spacing w:after="0"/>
              <w:rPr>
                <w:sz w:val="20"/>
                <w:szCs w:val="20"/>
                <w:color w:val="auto"/>
              </w:rPr>
            </w:pPr>
            <w:r>
              <w:rPr>
                <w:rFonts w:ascii="Arial" w:cs="Arial" w:eastAsia="Arial" w:hAnsi="Arial"/>
                <w:sz w:val="14"/>
                <w:szCs w:val="14"/>
                <w:b w:val="1"/>
                <w:bCs w:val="1"/>
                <w:color w:val="FFFFFF"/>
              </w:rPr>
              <w:t>Item</w:t>
            </w:r>
          </w:p>
        </w:tc>
        <w:tc>
          <w:tcPr>
            <w:tcW w:w="110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Approval</w:t>
            </w:r>
          </w:p>
        </w:tc>
        <w:tc>
          <w:tcPr>
            <w:tcW w:w="106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Abstentions</w:t>
            </w:r>
          </w:p>
        </w:tc>
        <w:tc>
          <w:tcPr>
            <w:tcW w:w="140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Shares</w:t>
            </w:r>
          </w:p>
        </w:tc>
        <w:tc>
          <w:tcPr>
            <w:tcW w:w="1580" w:type="dxa"/>
            <w:vAlign w:val="bottom"/>
            <w:shd w:val="clear" w:color="auto" w:fill="C43776"/>
          </w:tcPr>
          <w:p>
            <w:pPr>
              <w:ind w:left="120"/>
              <w:spacing w:after="0"/>
              <w:rPr>
                <w:sz w:val="20"/>
                <w:szCs w:val="20"/>
                <w:color w:val="auto"/>
              </w:rPr>
            </w:pPr>
            <w:r>
              <w:rPr>
                <w:rFonts w:ascii="Arial" w:cs="Arial" w:eastAsia="Arial" w:hAnsi="Arial"/>
                <w:sz w:val="14"/>
                <w:szCs w:val="14"/>
                <w:b w:val="1"/>
                <w:bCs w:val="1"/>
                <w:color w:val="FFFFFF"/>
              </w:rPr>
              <w:t>Recommendation</w:t>
            </w:r>
          </w:p>
        </w:tc>
        <w:tc>
          <w:tcPr>
            <w:tcW w:w="0" w:type="dxa"/>
            <w:vAlign w:val="bottom"/>
          </w:tcPr>
          <w:p>
            <w:pPr>
              <w:spacing w:after="0"/>
              <w:rPr>
                <w:sz w:val="1"/>
                <w:szCs w:val="1"/>
                <w:color w:val="auto"/>
              </w:rPr>
            </w:pPr>
          </w:p>
        </w:tc>
      </w:tr>
      <w:tr>
        <w:trPr>
          <w:trHeight w:val="94"/>
        </w:trPr>
        <w:tc>
          <w:tcPr>
            <w:tcW w:w="100" w:type="dxa"/>
            <w:vAlign w:val="bottom"/>
            <w:shd w:val="clear" w:color="auto" w:fill="C43776"/>
          </w:tcPr>
          <w:p>
            <w:pPr>
              <w:spacing w:after="0"/>
              <w:rPr>
                <w:sz w:val="8"/>
                <w:szCs w:val="8"/>
                <w:color w:val="auto"/>
              </w:rPr>
            </w:pPr>
          </w:p>
        </w:tc>
        <w:tc>
          <w:tcPr>
            <w:tcW w:w="720" w:type="dxa"/>
            <w:vAlign w:val="bottom"/>
            <w:shd w:val="clear" w:color="auto" w:fill="C43776"/>
          </w:tcPr>
          <w:p>
            <w:pPr>
              <w:spacing w:after="0"/>
              <w:rPr>
                <w:sz w:val="8"/>
                <w:szCs w:val="8"/>
                <w:color w:val="auto"/>
              </w:rPr>
            </w:pPr>
          </w:p>
        </w:tc>
        <w:tc>
          <w:tcPr>
            <w:tcW w:w="312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c>
          <w:tcPr>
            <w:tcW w:w="1060" w:type="dxa"/>
            <w:vAlign w:val="bottom"/>
            <w:shd w:val="clear" w:color="auto" w:fill="C43776"/>
          </w:tcPr>
          <w:p>
            <w:pPr>
              <w:spacing w:after="0"/>
              <w:rPr>
                <w:sz w:val="8"/>
                <w:szCs w:val="8"/>
                <w:color w:val="auto"/>
              </w:rPr>
            </w:pPr>
          </w:p>
        </w:tc>
        <w:tc>
          <w:tcPr>
            <w:tcW w:w="1400" w:type="dxa"/>
            <w:vAlign w:val="bottom"/>
            <w:shd w:val="clear" w:color="auto" w:fill="C43776"/>
          </w:tcPr>
          <w:p>
            <w:pPr>
              <w:spacing w:after="0"/>
              <w:rPr>
                <w:sz w:val="8"/>
                <w:szCs w:val="8"/>
                <w:color w:val="auto"/>
              </w:rPr>
            </w:pPr>
          </w:p>
        </w:tc>
        <w:tc>
          <w:tcPr>
            <w:tcW w:w="158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w:t>
            </w:r>
          </w:p>
        </w:tc>
        <w:tc>
          <w:tcPr>
            <w:tcW w:w="3120" w:type="dxa"/>
            <w:vAlign w:val="bottom"/>
            <w:vMerge w:val="restart"/>
          </w:tcPr>
          <w:p>
            <w:pPr>
              <w:ind w:left="180"/>
              <w:spacing w:after="0"/>
              <w:rPr>
                <w:sz w:val="20"/>
                <w:szCs w:val="20"/>
                <w:color w:val="auto"/>
              </w:rPr>
            </w:pPr>
            <w:r>
              <w:rPr>
                <w:rFonts w:ascii="Arial" w:cs="Arial" w:eastAsia="Arial" w:hAnsi="Arial"/>
                <w:sz w:val="14"/>
                <w:szCs w:val="14"/>
                <w:color w:val="auto"/>
              </w:rPr>
              <w:t>To elect the twelve directors</w:t>
            </w:r>
          </w:p>
        </w:tc>
        <w:tc>
          <w:tcPr>
            <w:tcW w:w="1100" w:type="dxa"/>
            <w:vAlign w:val="bottom"/>
          </w:tcPr>
          <w:p>
            <w:pPr>
              <w:ind w:left="120"/>
              <w:spacing w:after="0"/>
              <w:rPr>
                <w:sz w:val="20"/>
                <w:szCs w:val="20"/>
                <w:color w:val="auto"/>
              </w:rPr>
            </w:pPr>
            <w:r>
              <w:rPr>
                <w:rFonts w:ascii="Arial" w:cs="Arial" w:eastAsia="Arial" w:hAnsi="Arial"/>
                <w:sz w:val="14"/>
                <w:szCs w:val="14"/>
                <w:color w:val="auto"/>
              </w:rPr>
              <w:t>Majority of</w:t>
            </w:r>
          </w:p>
        </w:tc>
        <w:tc>
          <w:tcPr>
            <w:tcW w:w="1060" w:type="dxa"/>
            <w:vAlign w:val="bottom"/>
            <w:vMerge w:val="restart"/>
          </w:tcPr>
          <w:p>
            <w:pPr>
              <w:ind w:left="120"/>
              <w:spacing w:after="0"/>
              <w:rPr>
                <w:sz w:val="20"/>
                <w:szCs w:val="20"/>
                <w:color w:val="auto"/>
              </w:rPr>
            </w:pPr>
            <w:r>
              <w:rPr>
                <w:rFonts w:ascii="Arial" w:cs="Arial" w:eastAsia="Arial" w:hAnsi="Arial"/>
                <w:sz w:val="14"/>
                <w:szCs w:val="14"/>
                <w:color w:val="auto"/>
              </w:rPr>
              <w:t>No effect</w:t>
            </w:r>
          </w:p>
        </w:tc>
        <w:tc>
          <w:tcPr>
            <w:tcW w:w="1400" w:type="dxa"/>
            <w:vAlign w:val="bottom"/>
            <w:vMerge w:val="restart"/>
          </w:tcPr>
          <w:p>
            <w:pPr>
              <w:ind w:left="120"/>
              <w:spacing w:after="0"/>
              <w:rPr>
                <w:sz w:val="20"/>
                <w:szCs w:val="20"/>
                <w:color w:val="auto"/>
              </w:rPr>
            </w:pPr>
            <w:r>
              <w:rPr>
                <w:rFonts w:ascii="Arial" w:cs="Arial" w:eastAsia="Arial" w:hAnsi="Arial"/>
                <w:sz w:val="14"/>
                <w:szCs w:val="14"/>
                <w:color w:val="auto"/>
              </w:rPr>
              <w:t>No effect</w:t>
            </w:r>
          </w:p>
        </w:tc>
        <w:tc>
          <w:tcPr>
            <w:tcW w:w="1580" w:type="dxa"/>
            <w:vAlign w:val="bottom"/>
            <w:vMerge w:val="restart"/>
          </w:tcPr>
          <w:p>
            <w:pPr>
              <w:ind w:left="120"/>
              <w:spacing w:after="0"/>
              <w:rPr>
                <w:sz w:val="20"/>
                <w:szCs w:val="20"/>
                <w:color w:val="auto"/>
              </w:rPr>
            </w:pPr>
            <w:r>
              <w:rPr>
                <w:rFonts w:ascii="Arial" w:cs="Arial" w:eastAsia="Arial" w:hAnsi="Arial"/>
                <w:sz w:val="14"/>
                <w:szCs w:val="14"/>
                <w:b w:val="1"/>
                <w:bCs w:val="1"/>
                <w:color w:val="2C6EC4"/>
              </w:rPr>
              <w:t>FOR each nominee</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120" w:type="dxa"/>
            <w:vAlign w:val="bottom"/>
            <w:vMerge w:val="continue"/>
          </w:tcPr>
          <w:p>
            <w:pPr>
              <w:spacing w:after="0"/>
              <w:rPr>
                <w:sz w:val="10"/>
                <w:szCs w:val="10"/>
                <w:color w:val="auto"/>
              </w:rPr>
            </w:pPr>
          </w:p>
        </w:tc>
        <w:tc>
          <w:tcPr>
            <w:tcW w:w="1100" w:type="dxa"/>
            <w:vAlign w:val="bottom"/>
            <w:vMerge w:val="restart"/>
          </w:tcPr>
          <w:p>
            <w:pPr>
              <w:ind w:left="120"/>
              <w:spacing w:after="0"/>
              <w:rPr>
                <w:sz w:val="20"/>
                <w:szCs w:val="20"/>
                <w:color w:val="auto"/>
              </w:rPr>
            </w:pPr>
            <w:r>
              <w:rPr>
                <w:rFonts w:ascii="Arial" w:cs="Arial" w:eastAsia="Arial" w:hAnsi="Arial"/>
                <w:sz w:val="14"/>
                <w:szCs w:val="14"/>
                <w:color w:val="auto"/>
              </w:rPr>
              <w:t>votes cast</w:t>
            </w: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00" w:type="dxa"/>
            <w:vAlign w:val="bottom"/>
            <w:shd w:val="clear" w:color="auto" w:fill="F1F2F2"/>
          </w:tcPr>
          <w:p>
            <w:pPr>
              <w:spacing w:after="0"/>
              <w:rPr>
                <w:sz w:val="23"/>
                <w:szCs w:val="23"/>
                <w:color w:val="auto"/>
              </w:rPr>
            </w:pPr>
          </w:p>
        </w:tc>
        <w:tc>
          <w:tcPr>
            <w:tcW w:w="720" w:type="dxa"/>
            <w:vAlign w:val="bottom"/>
            <w:shd w:val="clear" w:color="auto" w:fill="F1F2F2"/>
          </w:tcPr>
          <w:p>
            <w:pPr>
              <w:spacing w:after="0"/>
              <w:rPr>
                <w:sz w:val="23"/>
                <w:szCs w:val="23"/>
                <w:color w:val="auto"/>
              </w:rPr>
            </w:pPr>
          </w:p>
        </w:tc>
        <w:tc>
          <w:tcPr>
            <w:tcW w:w="3120" w:type="dxa"/>
            <w:vAlign w:val="bottom"/>
            <w:shd w:val="clear" w:color="auto" w:fill="F1F2F2"/>
          </w:tcPr>
          <w:p>
            <w:pPr>
              <w:ind w:left="180"/>
              <w:spacing w:after="0"/>
              <w:rPr>
                <w:sz w:val="20"/>
                <w:szCs w:val="20"/>
                <w:color w:val="auto"/>
              </w:rPr>
            </w:pPr>
            <w:r>
              <w:rPr>
                <w:rFonts w:ascii="Arial" w:cs="Arial" w:eastAsia="Arial" w:hAnsi="Arial"/>
                <w:sz w:val="14"/>
                <w:szCs w:val="14"/>
                <w:color w:val="auto"/>
              </w:rPr>
              <w:t>To ratify the reappointment of Ernst &amp; Young</w:t>
            </w:r>
          </w:p>
        </w:tc>
        <w:tc>
          <w:tcPr>
            <w:tcW w:w="110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Majority of</w:t>
            </w:r>
          </w:p>
        </w:tc>
        <w:tc>
          <w:tcPr>
            <w:tcW w:w="1060" w:type="dxa"/>
            <w:vAlign w:val="bottom"/>
            <w:shd w:val="clear" w:color="auto" w:fill="F1F2F2"/>
          </w:tcPr>
          <w:p>
            <w:pPr>
              <w:spacing w:after="0"/>
              <w:rPr>
                <w:sz w:val="23"/>
                <w:szCs w:val="23"/>
                <w:color w:val="auto"/>
              </w:rPr>
            </w:pPr>
          </w:p>
        </w:tc>
        <w:tc>
          <w:tcPr>
            <w:tcW w:w="1400" w:type="dxa"/>
            <w:vAlign w:val="bottom"/>
            <w:shd w:val="clear" w:color="auto" w:fill="F1F2F2"/>
          </w:tcPr>
          <w:p>
            <w:pPr>
              <w:ind w:left="120"/>
              <w:spacing w:after="0"/>
              <w:rPr>
                <w:sz w:val="20"/>
                <w:szCs w:val="20"/>
                <w:color w:val="auto"/>
              </w:rPr>
            </w:pPr>
            <w:r>
              <w:rPr>
                <w:rFonts w:ascii="Arial" w:cs="Arial" w:eastAsia="Arial" w:hAnsi="Arial"/>
                <w:sz w:val="14"/>
                <w:szCs w:val="14"/>
                <w:color w:val="auto"/>
              </w:rPr>
              <w:t>Discretionary vote</w:t>
            </w:r>
          </w:p>
        </w:tc>
        <w:tc>
          <w:tcPr>
            <w:tcW w:w="158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1F2F2"/>
          </w:tcPr>
          <w:p>
            <w:pPr>
              <w:spacing w:after="0"/>
              <w:rPr>
                <w:sz w:val="7"/>
                <w:szCs w:val="7"/>
                <w:color w:val="auto"/>
              </w:rPr>
            </w:pPr>
          </w:p>
        </w:tc>
        <w:tc>
          <w:tcPr>
            <w:tcW w:w="720" w:type="dxa"/>
            <w:vAlign w:val="bottom"/>
            <w:vMerge w:val="restart"/>
            <w:shd w:val="clear" w:color="auto" w:fill="F1F2F2"/>
          </w:tcPr>
          <w:p>
            <w:pPr>
              <w:jc w:val="center"/>
              <w:spacing w:after="0"/>
              <w:rPr>
                <w:sz w:val="20"/>
                <w:szCs w:val="20"/>
                <w:color w:val="auto"/>
              </w:rPr>
            </w:pPr>
            <w:r>
              <w:rPr>
                <w:rFonts w:ascii="Arial" w:cs="Arial" w:eastAsia="Arial" w:hAnsi="Arial"/>
                <w:sz w:val="14"/>
                <w:szCs w:val="14"/>
                <w:b w:val="1"/>
                <w:bCs w:val="1"/>
                <w:color w:val="auto"/>
              </w:rPr>
              <w:t>2</w:t>
            </w:r>
          </w:p>
        </w:tc>
        <w:tc>
          <w:tcPr>
            <w:tcW w:w="3120" w:type="dxa"/>
            <w:vAlign w:val="bottom"/>
            <w:vMerge w:val="restart"/>
            <w:shd w:val="clear" w:color="auto" w:fill="F1F2F2"/>
          </w:tcPr>
          <w:p>
            <w:pPr>
              <w:ind w:left="180"/>
              <w:spacing w:after="0"/>
              <w:rPr>
                <w:sz w:val="20"/>
                <w:szCs w:val="20"/>
                <w:color w:val="auto"/>
              </w:rPr>
            </w:pPr>
            <w:r>
              <w:rPr>
                <w:rFonts w:ascii="Arial" w:cs="Arial" w:eastAsia="Arial" w:hAnsi="Arial"/>
                <w:sz w:val="14"/>
                <w:szCs w:val="14"/>
                <w:color w:val="auto"/>
              </w:rPr>
              <w:t>LLP as the Company’s independent public</w:t>
            </w:r>
          </w:p>
        </w:tc>
        <w:tc>
          <w:tcPr>
            <w:tcW w:w="1100" w:type="dxa"/>
            <w:vAlign w:val="bottom"/>
            <w:vMerge w:val="continue"/>
            <w:shd w:val="clear" w:color="auto" w:fill="F1F2F2"/>
          </w:tcPr>
          <w:p>
            <w:pPr>
              <w:spacing w:after="0"/>
              <w:rPr>
                <w:sz w:val="7"/>
                <w:szCs w:val="7"/>
                <w:color w:val="auto"/>
              </w:rPr>
            </w:pPr>
          </w:p>
        </w:tc>
        <w:tc>
          <w:tcPr>
            <w:tcW w:w="106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No effect</w:t>
            </w:r>
          </w:p>
        </w:tc>
        <w:tc>
          <w:tcPr>
            <w:tcW w:w="140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by broker</w:t>
            </w:r>
          </w:p>
        </w:tc>
        <w:tc>
          <w:tcPr>
            <w:tcW w:w="1580" w:type="dxa"/>
            <w:vAlign w:val="bottom"/>
            <w:vMerge w:val="restart"/>
            <w:shd w:val="clear" w:color="auto" w:fill="F1F2F2"/>
          </w:tcPr>
          <w:p>
            <w:pPr>
              <w:ind w:left="120"/>
              <w:spacing w:after="0"/>
              <w:rPr>
                <w:sz w:val="20"/>
                <w:szCs w:val="20"/>
                <w:color w:val="auto"/>
              </w:rPr>
            </w:pPr>
            <w:r>
              <w:rPr>
                <w:rFonts w:ascii="Arial" w:cs="Arial" w:eastAsia="Arial" w:hAnsi="Arial"/>
                <w:sz w:val="14"/>
                <w:szCs w:val="14"/>
                <w:b w:val="1"/>
                <w:bCs w:val="1"/>
                <w:color w:val="2C6EC4"/>
              </w:rPr>
              <w:t>FOR</w:t>
            </w:r>
          </w:p>
        </w:tc>
        <w:tc>
          <w:tcPr>
            <w:tcW w:w="0" w:type="dxa"/>
            <w:vAlign w:val="bottom"/>
          </w:tcPr>
          <w:p>
            <w:pPr>
              <w:spacing w:after="0"/>
              <w:rPr>
                <w:sz w:val="1"/>
                <w:szCs w:val="1"/>
                <w:color w:val="auto"/>
              </w:rPr>
            </w:pPr>
          </w:p>
        </w:tc>
      </w:tr>
      <w:tr>
        <w:trPr>
          <w:trHeight w:val="95"/>
        </w:trPr>
        <w:tc>
          <w:tcPr>
            <w:tcW w:w="100" w:type="dxa"/>
            <w:vAlign w:val="bottom"/>
            <w:shd w:val="clear" w:color="auto" w:fill="F1F2F2"/>
          </w:tcPr>
          <w:p>
            <w:pPr>
              <w:spacing w:after="0"/>
              <w:rPr>
                <w:sz w:val="8"/>
                <w:szCs w:val="8"/>
                <w:color w:val="auto"/>
              </w:rPr>
            </w:pPr>
          </w:p>
        </w:tc>
        <w:tc>
          <w:tcPr>
            <w:tcW w:w="720" w:type="dxa"/>
            <w:vAlign w:val="bottom"/>
            <w:vMerge w:val="continue"/>
            <w:shd w:val="clear" w:color="auto" w:fill="F1F2F2"/>
          </w:tcPr>
          <w:p>
            <w:pPr>
              <w:spacing w:after="0"/>
              <w:rPr>
                <w:sz w:val="8"/>
                <w:szCs w:val="8"/>
                <w:color w:val="auto"/>
              </w:rPr>
            </w:pPr>
          </w:p>
        </w:tc>
        <w:tc>
          <w:tcPr>
            <w:tcW w:w="3120" w:type="dxa"/>
            <w:vAlign w:val="bottom"/>
            <w:vMerge w:val="continue"/>
            <w:shd w:val="clear" w:color="auto" w:fill="F1F2F2"/>
          </w:tcPr>
          <w:p>
            <w:pPr>
              <w:spacing w:after="0"/>
              <w:rPr>
                <w:sz w:val="8"/>
                <w:szCs w:val="8"/>
                <w:color w:val="auto"/>
              </w:rPr>
            </w:pPr>
          </w:p>
        </w:tc>
        <w:tc>
          <w:tcPr>
            <w:tcW w:w="110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votes cast</w:t>
            </w:r>
          </w:p>
        </w:tc>
        <w:tc>
          <w:tcPr>
            <w:tcW w:w="1060" w:type="dxa"/>
            <w:vAlign w:val="bottom"/>
            <w:vMerge w:val="continue"/>
            <w:shd w:val="clear" w:color="auto" w:fill="F1F2F2"/>
          </w:tcPr>
          <w:p>
            <w:pPr>
              <w:spacing w:after="0"/>
              <w:rPr>
                <w:sz w:val="8"/>
                <w:szCs w:val="8"/>
                <w:color w:val="auto"/>
              </w:rPr>
            </w:pPr>
          </w:p>
        </w:tc>
        <w:tc>
          <w:tcPr>
            <w:tcW w:w="1400" w:type="dxa"/>
            <w:vAlign w:val="bottom"/>
            <w:vMerge w:val="continue"/>
            <w:shd w:val="clear" w:color="auto" w:fill="F1F2F2"/>
          </w:tcPr>
          <w:p>
            <w:pPr>
              <w:spacing w:after="0"/>
              <w:rPr>
                <w:sz w:val="8"/>
                <w:szCs w:val="8"/>
                <w:color w:val="auto"/>
              </w:rPr>
            </w:pPr>
          </w:p>
        </w:tc>
        <w:tc>
          <w:tcPr>
            <w:tcW w:w="158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0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3120" w:type="dxa"/>
            <w:vAlign w:val="bottom"/>
            <w:vMerge w:val="restart"/>
            <w:shd w:val="clear" w:color="auto" w:fill="F1F2F2"/>
          </w:tcPr>
          <w:p>
            <w:pPr>
              <w:ind w:left="180"/>
              <w:spacing w:after="0"/>
              <w:rPr>
                <w:sz w:val="20"/>
                <w:szCs w:val="20"/>
                <w:color w:val="auto"/>
              </w:rPr>
            </w:pPr>
            <w:r>
              <w:rPr>
                <w:rFonts w:ascii="Arial" w:cs="Arial" w:eastAsia="Arial" w:hAnsi="Arial"/>
                <w:sz w:val="14"/>
                <w:szCs w:val="14"/>
                <w:color w:val="auto"/>
              </w:rPr>
              <w:t>accounting firm for 2026</w:t>
            </w:r>
          </w:p>
        </w:tc>
        <w:tc>
          <w:tcPr>
            <w:tcW w:w="1100" w:type="dxa"/>
            <w:vAlign w:val="bottom"/>
            <w:vMerge w:val="continue"/>
            <w:shd w:val="clear" w:color="auto" w:fill="F1F2F2"/>
          </w:tcPr>
          <w:p>
            <w:pPr>
              <w:spacing w:after="0"/>
              <w:rPr>
                <w:sz w:val="8"/>
                <w:szCs w:val="8"/>
                <w:color w:val="auto"/>
              </w:rPr>
            </w:pPr>
          </w:p>
        </w:tc>
        <w:tc>
          <w:tcPr>
            <w:tcW w:w="1060" w:type="dxa"/>
            <w:vAlign w:val="bottom"/>
            <w:shd w:val="clear" w:color="auto" w:fill="F1F2F2"/>
          </w:tcPr>
          <w:p>
            <w:pPr>
              <w:spacing w:after="0"/>
              <w:rPr>
                <w:sz w:val="8"/>
                <w:szCs w:val="8"/>
                <w:color w:val="auto"/>
              </w:rPr>
            </w:pPr>
          </w:p>
        </w:tc>
        <w:tc>
          <w:tcPr>
            <w:tcW w:w="140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permitted</w:t>
            </w:r>
          </w:p>
        </w:tc>
        <w:tc>
          <w:tcPr>
            <w:tcW w:w="158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3120" w:type="dxa"/>
            <w:vAlign w:val="bottom"/>
            <w:vMerge w:val="continue"/>
            <w:shd w:val="clear" w:color="auto" w:fill="F1F2F2"/>
          </w:tcPr>
          <w:p>
            <w:pPr>
              <w:spacing w:after="0"/>
              <w:rPr>
                <w:sz w:val="8"/>
                <w:szCs w:val="8"/>
                <w:color w:val="auto"/>
              </w:rPr>
            </w:pPr>
          </w:p>
        </w:tc>
        <w:tc>
          <w:tcPr>
            <w:tcW w:w="1100" w:type="dxa"/>
            <w:vAlign w:val="bottom"/>
            <w:shd w:val="clear" w:color="auto" w:fill="F1F2F2"/>
          </w:tcPr>
          <w:p>
            <w:pPr>
              <w:spacing w:after="0"/>
              <w:rPr>
                <w:sz w:val="8"/>
                <w:szCs w:val="8"/>
                <w:color w:val="auto"/>
              </w:rPr>
            </w:pPr>
          </w:p>
        </w:tc>
        <w:tc>
          <w:tcPr>
            <w:tcW w:w="1060" w:type="dxa"/>
            <w:vAlign w:val="bottom"/>
            <w:shd w:val="clear" w:color="auto" w:fill="F1F2F2"/>
          </w:tcPr>
          <w:p>
            <w:pPr>
              <w:spacing w:after="0"/>
              <w:rPr>
                <w:sz w:val="8"/>
                <w:szCs w:val="8"/>
                <w:color w:val="auto"/>
              </w:rPr>
            </w:pPr>
          </w:p>
        </w:tc>
        <w:tc>
          <w:tcPr>
            <w:tcW w:w="1400" w:type="dxa"/>
            <w:vAlign w:val="bottom"/>
            <w:vMerge w:val="continue"/>
            <w:shd w:val="clear" w:color="auto" w:fill="F1F2F2"/>
          </w:tcPr>
          <w:p>
            <w:pPr>
              <w:spacing w:after="0"/>
              <w:rPr>
                <w:sz w:val="8"/>
                <w:szCs w:val="8"/>
                <w:color w:val="auto"/>
              </w:rPr>
            </w:pPr>
          </w:p>
        </w:tc>
        <w:tc>
          <w:tcPr>
            <w:tcW w:w="158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00" w:type="dxa"/>
            <w:vAlign w:val="bottom"/>
            <w:shd w:val="clear" w:color="auto" w:fill="F1F2F2"/>
          </w:tcPr>
          <w:p>
            <w:pPr>
              <w:spacing w:after="0"/>
              <w:rPr>
                <w:sz w:val="6"/>
                <w:szCs w:val="6"/>
                <w:color w:val="auto"/>
              </w:rPr>
            </w:pPr>
          </w:p>
        </w:tc>
        <w:tc>
          <w:tcPr>
            <w:tcW w:w="720" w:type="dxa"/>
            <w:vAlign w:val="bottom"/>
            <w:shd w:val="clear" w:color="auto" w:fill="F1F2F2"/>
          </w:tcPr>
          <w:p>
            <w:pPr>
              <w:spacing w:after="0"/>
              <w:rPr>
                <w:sz w:val="6"/>
                <w:szCs w:val="6"/>
                <w:color w:val="auto"/>
              </w:rPr>
            </w:pPr>
          </w:p>
        </w:tc>
        <w:tc>
          <w:tcPr>
            <w:tcW w:w="3120" w:type="dxa"/>
            <w:vAlign w:val="bottom"/>
            <w:shd w:val="clear" w:color="auto" w:fill="F1F2F2"/>
          </w:tcPr>
          <w:p>
            <w:pPr>
              <w:spacing w:after="0"/>
              <w:rPr>
                <w:sz w:val="6"/>
                <w:szCs w:val="6"/>
                <w:color w:val="auto"/>
              </w:rPr>
            </w:pPr>
          </w:p>
        </w:tc>
        <w:tc>
          <w:tcPr>
            <w:tcW w:w="1100" w:type="dxa"/>
            <w:vAlign w:val="bottom"/>
            <w:shd w:val="clear" w:color="auto" w:fill="F1F2F2"/>
          </w:tcPr>
          <w:p>
            <w:pPr>
              <w:spacing w:after="0"/>
              <w:rPr>
                <w:sz w:val="6"/>
                <w:szCs w:val="6"/>
                <w:color w:val="auto"/>
              </w:rPr>
            </w:pPr>
          </w:p>
        </w:tc>
        <w:tc>
          <w:tcPr>
            <w:tcW w:w="1060" w:type="dxa"/>
            <w:vAlign w:val="bottom"/>
            <w:shd w:val="clear" w:color="auto" w:fill="F1F2F2"/>
          </w:tcPr>
          <w:p>
            <w:pPr>
              <w:spacing w:after="0"/>
              <w:rPr>
                <w:sz w:val="6"/>
                <w:szCs w:val="6"/>
                <w:color w:val="auto"/>
              </w:rPr>
            </w:pPr>
          </w:p>
        </w:tc>
        <w:tc>
          <w:tcPr>
            <w:tcW w:w="1400" w:type="dxa"/>
            <w:vAlign w:val="bottom"/>
            <w:shd w:val="clear" w:color="auto" w:fill="F1F2F2"/>
          </w:tcPr>
          <w:p>
            <w:pPr>
              <w:spacing w:after="0"/>
              <w:rPr>
                <w:sz w:val="6"/>
                <w:szCs w:val="6"/>
                <w:color w:val="auto"/>
              </w:rPr>
            </w:pPr>
          </w:p>
        </w:tc>
        <w:tc>
          <w:tcPr>
            <w:tcW w:w="158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w:t>
            </w:r>
          </w:p>
        </w:tc>
        <w:tc>
          <w:tcPr>
            <w:tcW w:w="3120" w:type="dxa"/>
            <w:vAlign w:val="bottom"/>
          </w:tcPr>
          <w:p>
            <w:pPr>
              <w:ind w:left="180"/>
              <w:spacing w:after="0"/>
              <w:rPr>
                <w:sz w:val="20"/>
                <w:szCs w:val="20"/>
                <w:color w:val="auto"/>
              </w:rPr>
            </w:pPr>
            <w:r>
              <w:rPr>
                <w:rFonts w:ascii="Arial" w:cs="Arial" w:eastAsia="Arial" w:hAnsi="Arial"/>
                <w:sz w:val="14"/>
                <w:szCs w:val="14"/>
                <w:color w:val="auto"/>
              </w:rPr>
              <w:t>To approve, on an advisory basis, named</w:t>
            </w:r>
          </w:p>
        </w:tc>
        <w:tc>
          <w:tcPr>
            <w:tcW w:w="1100" w:type="dxa"/>
            <w:vAlign w:val="bottom"/>
          </w:tcPr>
          <w:p>
            <w:pPr>
              <w:ind w:left="120"/>
              <w:spacing w:after="0"/>
              <w:rPr>
                <w:sz w:val="20"/>
                <w:szCs w:val="20"/>
                <w:color w:val="auto"/>
              </w:rPr>
            </w:pPr>
            <w:r>
              <w:rPr>
                <w:rFonts w:ascii="Arial" w:cs="Arial" w:eastAsia="Arial" w:hAnsi="Arial"/>
                <w:sz w:val="14"/>
                <w:szCs w:val="14"/>
                <w:color w:val="auto"/>
              </w:rPr>
              <w:t>Majority of</w:t>
            </w:r>
          </w:p>
        </w:tc>
        <w:tc>
          <w:tcPr>
            <w:tcW w:w="1060" w:type="dxa"/>
            <w:vAlign w:val="bottom"/>
            <w:vMerge w:val="restart"/>
          </w:tcPr>
          <w:p>
            <w:pPr>
              <w:ind w:left="120"/>
              <w:spacing w:after="0"/>
              <w:rPr>
                <w:sz w:val="20"/>
                <w:szCs w:val="20"/>
                <w:color w:val="auto"/>
              </w:rPr>
            </w:pPr>
            <w:r>
              <w:rPr>
                <w:rFonts w:ascii="Arial" w:cs="Arial" w:eastAsia="Arial" w:hAnsi="Arial"/>
                <w:sz w:val="14"/>
                <w:szCs w:val="14"/>
                <w:color w:val="auto"/>
              </w:rPr>
              <w:t>No effect</w:t>
            </w:r>
          </w:p>
        </w:tc>
        <w:tc>
          <w:tcPr>
            <w:tcW w:w="1400" w:type="dxa"/>
            <w:vAlign w:val="bottom"/>
            <w:vMerge w:val="restart"/>
          </w:tcPr>
          <w:p>
            <w:pPr>
              <w:ind w:left="120"/>
              <w:spacing w:after="0"/>
              <w:rPr>
                <w:sz w:val="20"/>
                <w:szCs w:val="20"/>
                <w:color w:val="auto"/>
              </w:rPr>
            </w:pPr>
            <w:r>
              <w:rPr>
                <w:rFonts w:ascii="Arial" w:cs="Arial" w:eastAsia="Arial" w:hAnsi="Arial"/>
                <w:sz w:val="14"/>
                <w:szCs w:val="14"/>
                <w:color w:val="auto"/>
              </w:rPr>
              <w:t>No effect</w:t>
            </w:r>
          </w:p>
        </w:tc>
        <w:tc>
          <w:tcPr>
            <w:tcW w:w="1580" w:type="dxa"/>
            <w:vAlign w:val="bottom"/>
            <w:vMerge w:val="restart"/>
          </w:tcPr>
          <w:p>
            <w:pPr>
              <w:ind w:left="120"/>
              <w:spacing w:after="0"/>
              <w:rPr>
                <w:sz w:val="20"/>
                <w:szCs w:val="20"/>
                <w:color w:val="auto"/>
              </w:rPr>
            </w:pPr>
            <w:r>
              <w:rPr>
                <w:rFonts w:ascii="Arial" w:cs="Arial" w:eastAsia="Arial" w:hAnsi="Arial"/>
                <w:sz w:val="14"/>
                <w:szCs w:val="14"/>
                <w:b w:val="1"/>
                <w:bCs w:val="1"/>
                <w:color w:val="2C6EC4"/>
              </w:rPr>
              <w:t>FOR</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120" w:type="dxa"/>
            <w:vAlign w:val="bottom"/>
            <w:vMerge w:val="restart"/>
          </w:tcPr>
          <w:p>
            <w:pPr>
              <w:ind w:left="180"/>
              <w:spacing w:after="0"/>
              <w:rPr>
                <w:sz w:val="20"/>
                <w:szCs w:val="20"/>
                <w:color w:val="auto"/>
              </w:rPr>
            </w:pPr>
            <w:r>
              <w:rPr>
                <w:rFonts w:ascii="Arial" w:cs="Arial" w:eastAsia="Arial" w:hAnsi="Arial"/>
                <w:sz w:val="14"/>
                <w:szCs w:val="14"/>
                <w:color w:val="auto"/>
              </w:rPr>
              <w:t>executive officer compensation</w:t>
            </w:r>
          </w:p>
        </w:tc>
        <w:tc>
          <w:tcPr>
            <w:tcW w:w="1100" w:type="dxa"/>
            <w:vAlign w:val="bottom"/>
            <w:vMerge w:val="restart"/>
          </w:tcPr>
          <w:p>
            <w:pPr>
              <w:ind w:left="120"/>
              <w:spacing w:after="0"/>
              <w:rPr>
                <w:sz w:val="20"/>
                <w:szCs w:val="20"/>
                <w:color w:val="auto"/>
              </w:rPr>
            </w:pPr>
            <w:r>
              <w:rPr>
                <w:rFonts w:ascii="Arial" w:cs="Arial" w:eastAsia="Arial" w:hAnsi="Arial"/>
                <w:sz w:val="14"/>
                <w:szCs w:val="14"/>
                <w:color w:val="auto"/>
              </w:rPr>
              <w:t>votes cast</w:t>
            </w: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00" w:type="dxa"/>
            <w:vAlign w:val="bottom"/>
            <w:shd w:val="clear" w:color="auto" w:fill="F1F2F2"/>
          </w:tcPr>
          <w:p>
            <w:pPr>
              <w:spacing w:after="0"/>
              <w:rPr>
                <w:sz w:val="23"/>
                <w:szCs w:val="23"/>
                <w:color w:val="auto"/>
              </w:rPr>
            </w:pPr>
          </w:p>
        </w:tc>
        <w:tc>
          <w:tcPr>
            <w:tcW w:w="720" w:type="dxa"/>
            <w:vAlign w:val="bottom"/>
            <w:shd w:val="clear" w:color="auto" w:fill="F1F2F2"/>
          </w:tcPr>
          <w:p>
            <w:pPr>
              <w:spacing w:after="0"/>
              <w:rPr>
                <w:sz w:val="23"/>
                <w:szCs w:val="23"/>
                <w:color w:val="auto"/>
              </w:rPr>
            </w:pPr>
          </w:p>
        </w:tc>
        <w:tc>
          <w:tcPr>
            <w:tcW w:w="3120" w:type="dxa"/>
            <w:vAlign w:val="bottom"/>
            <w:shd w:val="clear" w:color="auto" w:fill="F1F2F2"/>
          </w:tcPr>
          <w:p>
            <w:pPr>
              <w:ind w:left="180"/>
              <w:spacing w:after="0"/>
              <w:rPr>
                <w:sz w:val="20"/>
                <w:szCs w:val="20"/>
                <w:color w:val="auto"/>
              </w:rPr>
            </w:pPr>
            <w:r>
              <w:rPr>
                <w:rFonts w:ascii="Arial" w:cs="Arial" w:eastAsia="Arial" w:hAnsi="Arial"/>
                <w:sz w:val="14"/>
                <w:szCs w:val="14"/>
                <w:color w:val="auto"/>
              </w:rPr>
              <w:t>To vote on a shareholder proposal regarding</w:t>
            </w:r>
          </w:p>
        </w:tc>
        <w:tc>
          <w:tcPr>
            <w:tcW w:w="110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Majority of</w:t>
            </w:r>
          </w:p>
        </w:tc>
        <w:tc>
          <w:tcPr>
            <w:tcW w:w="1060" w:type="dxa"/>
            <w:vAlign w:val="bottom"/>
            <w:shd w:val="clear" w:color="auto" w:fill="F1F2F2"/>
          </w:tcPr>
          <w:p>
            <w:pPr>
              <w:spacing w:after="0"/>
              <w:rPr>
                <w:sz w:val="23"/>
                <w:szCs w:val="23"/>
                <w:color w:val="auto"/>
              </w:rPr>
            </w:pPr>
          </w:p>
        </w:tc>
        <w:tc>
          <w:tcPr>
            <w:tcW w:w="1400" w:type="dxa"/>
            <w:vAlign w:val="bottom"/>
            <w:shd w:val="clear" w:color="auto" w:fill="F1F2F2"/>
          </w:tcPr>
          <w:p>
            <w:pPr>
              <w:spacing w:after="0"/>
              <w:rPr>
                <w:sz w:val="23"/>
                <w:szCs w:val="23"/>
                <w:color w:val="auto"/>
              </w:rPr>
            </w:pPr>
          </w:p>
        </w:tc>
        <w:tc>
          <w:tcPr>
            <w:tcW w:w="158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1F2F2"/>
          </w:tcPr>
          <w:p>
            <w:pPr>
              <w:spacing w:after="0"/>
              <w:rPr>
                <w:sz w:val="7"/>
                <w:szCs w:val="7"/>
                <w:color w:val="auto"/>
              </w:rPr>
            </w:pPr>
          </w:p>
        </w:tc>
        <w:tc>
          <w:tcPr>
            <w:tcW w:w="720" w:type="dxa"/>
            <w:vAlign w:val="bottom"/>
            <w:vMerge w:val="restart"/>
            <w:shd w:val="clear" w:color="auto" w:fill="F1F2F2"/>
          </w:tcPr>
          <w:p>
            <w:pPr>
              <w:jc w:val="center"/>
              <w:spacing w:after="0"/>
              <w:rPr>
                <w:sz w:val="20"/>
                <w:szCs w:val="20"/>
                <w:color w:val="auto"/>
              </w:rPr>
            </w:pPr>
            <w:r>
              <w:rPr>
                <w:rFonts w:ascii="Arial" w:cs="Arial" w:eastAsia="Arial" w:hAnsi="Arial"/>
                <w:sz w:val="14"/>
                <w:szCs w:val="14"/>
                <w:b w:val="1"/>
                <w:bCs w:val="1"/>
                <w:color w:val="auto"/>
              </w:rPr>
              <w:t>4</w:t>
            </w:r>
          </w:p>
        </w:tc>
        <w:tc>
          <w:tcPr>
            <w:tcW w:w="3120" w:type="dxa"/>
            <w:vAlign w:val="bottom"/>
            <w:vMerge w:val="restart"/>
            <w:shd w:val="clear" w:color="auto" w:fill="F1F2F2"/>
          </w:tcPr>
          <w:p>
            <w:pPr>
              <w:ind w:left="180"/>
              <w:spacing w:after="0"/>
              <w:rPr>
                <w:sz w:val="20"/>
                <w:szCs w:val="20"/>
                <w:color w:val="auto"/>
              </w:rPr>
            </w:pPr>
            <w:r>
              <w:rPr>
                <w:rFonts w:ascii="Arial" w:cs="Arial" w:eastAsia="Arial" w:hAnsi="Arial"/>
                <w:sz w:val="14"/>
                <w:szCs w:val="14"/>
                <w:color w:val="auto"/>
              </w:rPr>
              <w:t>an independent Board Chair requirement, if</w:t>
            </w:r>
          </w:p>
        </w:tc>
        <w:tc>
          <w:tcPr>
            <w:tcW w:w="1100" w:type="dxa"/>
            <w:vAlign w:val="bottom"/>
            <w:vMerge w:val="continue"/>
            <w:shd w:val="clear" w:color="auto" w:fill="F1F2F2"/>
          </w:tcPr>
          <w:p>
            <w:pPr>
              <w:spacing w:after="0"/>
              <w:rPr>
                <w:sz w:val="7"/>
                <w:szCs w:val="7"/>
                <w:color w:val="auto"/>
              </w:rPr>
            </w:pPr>
          </w:p>
        </w:tc>
        <w:tc>
          <w:tcPr>
            <w:tcW w:w="106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No effect</w:t>
            </w:r>
          </w:p>
        </w:tc>
        <w:tc>
          <w:tcPr>
            <w:tcW w:w="140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No effect</w:t>
            </w:r>
          </w:p>
        </w:tc>
        <w:tc>
          <w:tcPr>
            <w:tcW w:w="1580" w:type="dxa"/>
            <w:vAlign w:val="bottom"/>
            <w:vMerge w:val="restart"/>
            <w:shd w:val="clear" w:color="auto" w:fill="F1F2F2"/>
          </w:tcPr>
          <w:p>
            <w:pPr>
              <w:ind w:left="120"/>
              <w:spacing w:after="0"/>
              <w:rPr>
                <w:sz w:val="20"/>
                <w:szCs w:val="20"/>
                <w:color w:val="auto"/>
              </w:rPr>
            </w:pPr>
            <w:r>
              <w:rPr>
                <w:rFonts w:ascii="Arial" w:cs="Arial" w:eastAsia="Arial" w:hAnsi="Arial"/>
                <w:sz w:val="14"/>
                <w:szCs w:val="14"/>
                <w:b w:val="1"/>
                <w:bCs w:val="1"/>
                <w:color w:val="C43776"/>
              </w:rPr>
              <w:t>AGAINST</w:t>
            </w:r>
          </w:p>
        </w:tc>
        <w:tc>
          <w:tcPr>
            <w:tcW w:w="0" w:type="dxa"/>
            <w:vAlign w:val="bottom"/>
          </w:tcPr>
          <w:p>
            <w:pPr>
              <w:spacing w:after="0"/>
              <w:rPr>
                <w:sz w:val="1"/>
                <w:szCs w:val="1"/>
                <w:color w:val="auto"/>
              </w:rPr>
            </w:pPr>
          </w:p>
        </w:tc>
      </w:tr>
      <w:tr>
        <w:trPr>
          <w:trHeight w:val="94"/>
        </w:trPr>
        <w:tc>
          <w:tcPr>
            <w:tcW w:w="100" w:type="dxa"/>
            <w:vAlign w:val="bottom"/>
            <w:shd w:val="clear" w:color="auto" w:fill="F1F2F2"/>
          </w:tcPr>
          <w:p>
            <w:pPr>
              <w:spacing w:after="0"/>
              <w:rPr>
                <w:sz w:val="8"/>
                <w:szCs w:val="8"/>
                <w:color w:val="auto"/>
              </w:rPr>
            </w:pPr>
          </w:p>
        </w:tc>
        <w:tc>
          <w:tcPr>
            <w:tcW w:w="720" w:type="dxa"/>
            <w:vAlign w:val="bottom"/>
            <w:vMerge w:val="continue"/>
            <w:shd w:val="clear" w:color="auto" w:fill="F1F2F2"/>
          </w:tcPr>
          <w:p>
            <w:pPr>
              <w:spacing w:after="0"/>
              <w:rPr>
                <w:sz w:val="8"/>
                <w:szCs w:val="8"/>
                <w:color w:val="auto"/>
              </w:rPr>
            </w:pPr>
          </w:p>
        </w:tc>
        <w:tc>
          <w:tcPr>
            <w:tcW w:w="3120" w:type="dxa"/>
            <w:vAlign w:val="bottom"/>
            <w:vMerge w:val="continue"/>
            <w:shd w:val="clear" w:color="auto" w:fill="F1F2F2"/>
          </w:tcPr>
          <w:p>
            <w:pPr>
              <w:spacing w:after="0"/>
              <w:rPr>
                <w:sz w:val="8"/>
                <w:szCs w:val="8"/>
                <w:color w:val="auto"/>
              </w:rPr>
            </w:pPr>
          </w:p>
        </w:tc>
        <w:tc>
          <w:tcPr>
            <w:tcW w:w="1100" w:type="dxa"/>
            <w:vAlign w:val="bottom"/>
            <w:vMerge w:val="restart"/>
            <w:shd w:val="clear" w:color="auto" w:fill="F1F2F2"/>
          </w:tcPr>
          <w:p>
            <w:pPr>
              <w:ind w:left="120"/>
              <w:spacing w:after="0"/>
              <w:rPr>
                <w:sz w:val="20"/>
                <w:szCs w:val="20"/>
                <w:color w:val="auto"/>
              </w:rPr>
            </w:pPr>
            <w:r>
              <w:rPr>
                <w:rFonts w:ascii="Arial" w:cs="Arial" w:eastAsia="Arial" w:hAnsi="Arial"/>
                <w:sz w:val="14"/>
                <w:szCs w:val="14"/>
                <w:color w:val="auto"/>
              </w:rPr>
              <w:t>votes cast</w:t>
            </w:r>
          </w:p>
        </w:tc>
        <w:tc>
          <w:tcPr>
            <w:tcW w:w="1060" w:type="dxa"/>
            <w:vAlign w:val="bottom"/>
            <w:vMerge w:val="continue"/>
            <w:shd w:val="clear" w:color="auto" w:fill="F1F2F2"/>
          </w:tcPr>
          <w:p>
            <w:pPr>
              <w:spacing w:after="0"/>
              <w:rPr>
                <w:sz w:val="8"/>
                <w:szCs w:val="8"/>
                <w:color w:val="auto"/>
              </w:rPr>
            </w:pPr>
          </w:p>
        </w:tc>
        <w:tc>
          <w:tcPr>
            <w:tcW w:w="1400" w:type="dxa"/>
            <w:vAlign w:val="bottom"/>
            <w:vMerge w:val="continue"/>
            <w:shd w:val="clear" w:color="auto" w:fill="F1F2F2"/>
          </w:tcPr>
          <w:p>
            <w:pPr>
              <w:spacing w:after="0"/>
              <w:rPr>
                <w:sz w:val="8"/>
                <w:szCs w:val="8"/>
                <w:color w:val="auto"/>
              </w:rPr>
            </w:pPr>
          </w:p>
        </w:tc>
        <w:tc>
          <w:tcPr>
            <w:tcW w:w="158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0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3120" w:type="dxa"/>
            <w:vAlign w:val="bottom"/>
            <w:vMerge w:val="restart"/>
            <w:shd w:val="clear" w:color="auto" w:fill="F1F2F2"/>
          </w:tcPr>
          <w:p>
            <w:pPr>
              <w:ind w:left="180"/>
              <w:spacing w:after="0"/>
              <w:rPr>
                <w:sz w:val="20"/>
                <w:szCs w:val="20"/>
                <w:color w:val="auto"/>
              </w:rPr>
            </w:pPr>
            <w:r>
              <w:rPr>
                <w:rFonts w:ascii="Arial" w:cs="Arial" w:eastAsia="Arial" w:hAnsi="Arial"/>
                <w:sz w:val="14"/>
                <w:szCs w:val="14"/>
                <w:color w:val="auto"/>
              </w:rPr>
              <w:t>properly presented at the meeting</w:t>
            </w:r>
          </w:p>
        </w:tc>
        <w:tc>
          <w:tcPr>
            <w:tcW w:w="1100" w:type="dxa"/>
            <w:vAlign w:val="bottom"/>
            <w:vMerge w:val="continue"/>
            <w:shd w:val="clear" w:color="auto" w:fill="F1F2F2"/>
          </w:tcPr>
          <w:p>
            <w:pPr>
              <w:spacing w:after="0"/>
              <w:rPr>
                <w:sz w:val="8"/>
                <w:szCs w:val="8"/>
                <w:color w:val="auto"/>
              </w:rPr>
            </w:pPr>
          </w:p>
        </w:tc>
        <w:tc>
          <w:tcPr>
            <w:tcW w:w="1060" w:type="dxa"/>
            <w:vAlign w:val="bottom"/>
            <w:shd w:val="clear" w:color="auto" w:fill="F1F2F2"/>
          </w:tcPr>
          <w:p>
            <w:pPr>
              <w:spacing w:after="0"/>
              <w:rPr>
                <w:sz w:val="8"/>
                <w:szCs w:val="8"/>
                <w:color w:val="auto"/>
              </w:rPr>
            </w:pPr>
          </w:p>
        </w:tc>
        <w:tc>
          <w:tcPr>
            <w:tcW w:w="1400" w:type="dxa"/>
            <w:vAlign w:val="bottom"/>
            <w:shd w:val="clear" w:color="auto" w:fill="F1F2F2"/>
          </w:tcPr>
          <w:p>
            <w:pPr>
              <w:spacing w:after="0"/>
              <w:rPr>
                <w:sz w:val="8"/>
                <w:szCs w:val="8"/>
                <w:color w:val="auto"/>
              </w:rPr>
            </w:pPr>
          </w:p>
        </w:tc>
        <w:tc>
          <w:tcPr>
            <w:tcW w:w="158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3120" w:type="dxa"/>
            <w:vAlign w:val="bottom"/>
            <w:vMerge w:val="continue"/>
            <w:shd w:val="clear" w:color="auto" w:fill="F1F2F2"/>
          </w:tcPr>
          <w:p>
            <w:pPr>
              <w:spacing w:after="0"/>
              <w:rPr>
                <w:sz w:val="8"/>
                <w:szCs w:val="8"/>
                <w:color w:val="auto"/>
              </w:rPr>
            </w:pPr>
          </w:p>
        </w:tc>
        <w:tc>
          <w:tcPr>
            <w:tcW w:w="1100" w:type="dxa"/>
            <w:vAlign w:val="bottom"/>
            <w:shd w:val="clear" w:color="auto" w:fill="F1F2F2"/>
          </w:tcPr>
          <w:p>
            <w:pPr>
              <w:spacing w:after="0"/>
              <w:rPr>
                <w:sz w:val="8"/>
                <w:szCs w:val="8"/>
                <w:color w:val="auto"/>
              </w:rPr>
            </w:pPr>
          </w:p>
        </w:tc>
        <w:tc>
          <w:tcPr>
            <w:tcW w:w="1060" w:type="dxa"/>
            <w:vAlign w:val="bottom"/>
            <w:shd w:val="clear" w:color="auto" w:fill="F1F2F2"/>
          </w:tcPr>
          <w:p>
            <w:pPr>
              <w:spacing w:after="0"/>
              <w:rPr>
                <w:sz w:val="8"/>
                <w:szCs w:val="8"/>
                <w:color w:val="auto"/>
              </w:rPr>
            </w:pPr>
          </w:p>
        </w:tc>
        <w:tc>
          <w:tcPr>
            <w:tcW w:w="1400" w:type="dxa"/>
            <w:vAlign w:val="bottom"/>
            <w:shd w:val="clear" w:color="auto" w:fill="F1F2F2"/>
          </w:tcPr>
          <w:p>
            <w:pPr>
              <w:spacing w:after="0"/>
              <w:rPr>
                <w:sz w:val="8"/>
                <w:szCs w:val="8"/>
                <w:color w:val="auto"/>
              </w:rPr>
            </w:pPr>
          </w:p>
        </w:tc>
        <w:tc>
          <w:tcPr>
            <w:tcW w:w="158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C43776"/>
            </w:tcBorders>
            <w:shd w:val="clear" w:color="auto" w:fill="F1F2F2"/>
          </w:tcPr>
          <w:p>
            <w:pPr>
              <w:spacing w:after="0"/>
              <w:rPr>
                <w:sz w:val="6"/>
                <w:szCs w:val="6"/>
                <w:color w:val="auto"/>
              </w:rPr>
            </w:pPr>
          </w:p>
        </w:tc>
        <w:tc>
          <w:tcPr>
            <w:tcW w:w="720" w:type="dxa"/>
            <w:vAlign w:val="bottom"/>
            <w:tcBorders>
              <w:bottom w:val="single" w:sz="8" w:color="C43776"/>
            </w:tcBorders>
            <w:shd w:val="clear" w:color="auto" w:fill="F1F2F2"/>
          </w:tcPr>
          <w:p>
            <w:pPr>
              <w:spacing w:after="0"/>
              <w:rPr>
                <w:sz w:val="6"/>
                <w:szCs w:val="6"/>
                <w:color w:val="auto"/>
              </w:rPr>
            </w:pPr>
          </w:p>
        </w:tc>
        <w:tc>
          <w:tcPr>
            <w:tcW w:w="3120" w:type="dxa"/>
            <w:vAlign w:val="bottom"/>
            <w:tcBorders>
              <w:bottom w:val="single" w:sz="8" w:color="C43776"/>
            </w:tcBorders>
            <w:shd w:val="clear" w:color="auto" w:fill="F1F2F2"/>
          </w:tcPr>
          <w:p>
            <w:pPr>
              <w:spacing w:after="0"/>
              <w:rPr>
                <w:sz w:val="6"/>
                <w:szCs w:val="6"/>
                <w:color w:val="auto"/>
              </w:rPr>
            </w:pPr>
          </w:p>
        </w:tc>
        <w:tc>
          <w:tcPr>
            <w:tcW w:w="1100" w:type="dxa"/>
            <w:vAlign w:val="bottom"/>
            <w:tcBorders>
              <w:bottom w:val="single" w:sz="8" w:color="C43776"/>
            </w:tcBorders>
            <w:shd w:val="clear" w:color="auto" w:fill="F1F2F2"/>
          </w:tcPr>
          <w:p>
            <w:pPr>
              <w:spacing w:after="0"/>
              <w:rPr>
                <w:sz w:val="6"/>
                <w:szCs w:val="6"/>
                <w:color w:val="auto"/>
              </w:rPr>
            </w:pPr>
          </w:p>
        </w:tc>
        <w:tc>
          <w:tcPr>
            <w:tcW w:w="1060" w:type="dxa"/>
            <w:vAlign w:val="bottom"/>
            <w:tcBorders>
              <w:bottom w:val="single" w:sz="8" w:color="C43776"/>
            </w:tcBorders>
            <w:shd w:val="clear" w:color="auto" w:fill="F1F2F2"/>
          </w:tcPr>
          <w:p>
            <w:pPr>
              <w:spacing w:after="0"/>
              <w:rPr>
                <w:sz w:val="6"/>
                <w:szCs w:val="6"/>
                <w:color w:val="auto"/>
              </w:rPr>
            </w:pPr>
          </w:p>
        </w:tc>
        <w:tc>
          <w:tcPr>
            <w:tcW w:w="1400" w:type="dxa"/>
            <w:vAlign w:val="bottom"/>
            <w:tcBorders>
              <w:bottom w:val="single" w:sz="8" w:color="C43776"/>
            </w:tcBorders>
            <w:shd w:val="clear" w:color="auto" w:fill="F1F2F2"/>
          </w:tcPr>
          <w:p>
            <w:pPr>
              <w:spacing w:after="0"/>
              <w:rPr>
                <w:sz w:val="6"/>
                <w:szCs w:val="6"/>
                <w:color w:val="auto"/>
              </w:rPr>
            </w:pPr>
          </w:p>
        </w:tc>
        <w:tc>
          <w:tcPr>
            <w:tcW w:w="1580" w:type="dxa"/>
            <w:vAlign w:val="bottom"/>
            <w:tcBorders>
              <w:bottom w:val="single" w:sz="8" w:color="C43776"/>
            </w:tcBorders>
            <w:shd w:val="clear" w:color="auto" w:fill="F1F2F2"/>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spacing w:after="0" w:line="304" w:lineRule="auto"/>
        <w:rPr>
          <w:sz w:val="20"/>
          <w:szCs w:val="20"/>
          <w:color w:val="auto"/>
        </w:rPr>
      </w:pPr>
      <w:r>
        <w:rPr>
          <w:rFonts w:ascii="Arial" w:cs="Arial" w:eastAsia="Arial" w:hAnsi="Arial"/>
          <w:sz w:val="16"/>
          <w:szCs w:val="16"/>
          <w:color w:val="auto"/>
        </w:rPr>
        <w:t>If you sign and return a proxy card or vote your shares via the Internet but do not provide voting instructions, your shares will be voted as listed in the “Board Voting Recommendation” column in the table above.</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color w:val="auto"/>
        </w:rPr>
        <w:t>Where to Find More Proxy Voting Information:</w:t>
      </w:r>
    </w:p>
    <w:p>
      <w:pPr>
        <w:spacing w:after="0" w:line="126" w:lineRule="exact"/>
        <w:rPr>
          <w:sz w:val="20"/>
          <w:szCs w:val="20"/>
          <w:color w:val="auto"/>
        </w:rPr>
      </w:pPr>
    </w:p>
    <w:p>
      <w:pPr>
        <w:ind w:left="340" w:right="1280" w:hanging="251"/>
        <w:spacing w:after="0" w:line="290" w:lineRule="auto"/>
        <w:tabs>
          <w:tab w:leader="none" w:pos="340" w:val="left"/>
        </w:tabs>
        <w:numPr>
          <w:ilvl w:val="0"/>
          <w:numId w:val="74"/>
        </w:numPr>
        <w:rPr>
          <w:rFonts w:ascii="Arial" w:cs="Arial" w:eastAsia="Arial" w:hAnsi="Arial"/>
          <w:sz w:val="11"/>
          <w:szCs w:val="11"/>
          <w:color w:val="BE1549"/>
        </w:rPr>
      </w:pPr>
      <w:r>
        <w:rPr>
          <w:rFonts w:ascii="Arial" w:cs="Arial" w:eastAsia="Arial" w:hAnsi="Arial"/>
          <w:sz w:val="16"/>
          <w:szCs w:val="16"/>
          <w:color w:val="auto"/>
        </w:rPr>
        <w:t>The SEC’s website has a variety of information about the proxy voting process at www.sec.gov/spotlight/ proxymatters.shtml.</w:t>
      </w:r>
    </w:p>
    <w:p>
      <w:pPr>
        <w:ind w:left="340" w:right="1020" w:hanging="251"/>
        <w:spacing w:after="0" w:line="286" w:lineRule="auto"/>
        <w:tabs>
          <w:tab w:leader="none" w:pos="340" w:val="left"/>
        </w:tabs>
        <w:numPr>
          <w:ilvl w:val="0"/>
          <w:numId w:val="74"/>
        </w:numPr>
        <w:rPr>
          <w:rFonts w:ascii="Arial" w:cs="Arial" w:eastAsia="Arial" w:hAnsi="Arial"/>
          <w:sz w:val="11"/>
          <w:szCs w:val="11"/>
          <w:color w:val="BE1549"/>
        </w:rPr>
      </w:pPr>
      <w:r>
        <w:rPr>
          <w:rFonts w:ascii="Arial" w:cs="Arial" w:eastAsia="Arial" w:hAnsi="Arial"/>
          <w:sz w:val="16"/>
          <w:szCs w:val="16"/>
          <w:color w:val="auto"/>
        </w:rPr>
        <w:t>Contact the Investor Relations department through our website at https://investor.corpay.com or by phone at (770) 417-4697. </w:t>
      </w:r>
    </w:p>
    <w:p>
      <w:pPr>
        <w:spacing w:after="0" w:line="7" w:lineRule="exact"/>
        <w:rPr>
          <w:rFonts w:ascii="Arial" w:cs="Arial" w:eastAsia="Arial" w:hAnsi="Arial"/>
          <w:sz w:val="11"/>
          <w:szCs w:val="11"/>
          <w:color w:val="BE1549"/>
        </w:rPr>
      </w:pPr>
    </w:p>
    <w:p>
      <w:pPr>
        <w:ind w:left="340" w:hanging="251"/>
        <w:spacing w:after="0"/>
        <w:tabs>
          <w:tab w:leader="none" w:pos="340" w:val="left"/>
        </w:tabs>
        <w:numPr>
          <w:ilvl w:val="0"/>
          <w:numId w:val="74"/>
        </w:numPr>
        <w:rPr>
          <w:rFonts w:ascii="Arial" w:cs="Arial" w:eastAsia="Arial" w:hAnsi="Arial"/>
          <w:sz w:val="11"/>
          <w:szCs w:val="11"/>
          <w:color w:val="BE1549"/>
        </w:rPr>
      </w:pPr>
      <w:r>
        <w:rPr>
          <w:rFonts w:ascii="Arial" w:cs="Arial" w:eastAsia="Arial" w:hAnsi="Arial"/>
          <w:sz w:val="16"/>
          <w:szCs w:val="16"/>
          <w:color w:val="auto"/>
        </w:rPr>
        <w:t>Contact the broker or bank through which you beneficially own your shares.</w:t>
      </w:r>
    </w:p>
    <w:p>
      <w:pPr>
        <w:spacing w:after="0" w:line="167"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b w:val="1"/>
          <w:bCs w:val="1"/>
          <w:color w:val="auto"/>
        </w:rPr>
        <w:t xml:space="preserve">Revoking Your Proxy: </w:t>
      </w:r>
      <w:r>
        <w:rPr>
          <w:rFonts w:ascii="Arial" w:cs="Arial" w:eastAsia="Arial" w:hAnsi="Arial"/>
          <w:sz w:val="16"/>
          <w:szCs w:val="16"/>
          <w:color w:val="auto"/>
        </w:rPr>
        <w:t>Shareholders of record may revoke their proxy and change their vote at any time before the polls</w:t>
      </w:r>
      <w:r>
        <w:rPr>
          <w:rFonts w:ascii="Arial" w:cs="Arial" w:eastAsia="Arial" w:hAnsi="Arial"/>
          <w:sz w:val="16"/>
          <w:szCs w:val="16"/>
          <w:b w:val="1"/>
          <w:bCs w:val="1"/>
          <w:color w:val="auto"/>
        </w:rPr>
        <w:t xml:space="preserve"> </w:t>
      </w:r>
      <w:r>
        <w:rPr>
          <w:rFonts w:ascii="Arial" w:cs="Arial" w:eastAsia="Arial" w:hAnsi="Arial"/>
          <w:sz w:val="16"/>
          <w:szCs w:val="16"/>
          <w:color w:val="auto"/>
        </w:rPr>
        <w:t>close at the annual meeting by submitting a subsequent proxy (if you received a proxy card) or by using the Internet, by telephone or by mail to vote after the date of your proxy; sending written notice of revocation to our Corporate Secretary at Corpay, 3280 Peachtree Road, Suite 2400, Atlanta, Georgia 30305; or voting in person at the annual meeting. If you hold shares through a bank or broker, please refer to your proxy card or other voting information form forwarded by your bank or broker to see how you can revoke your proxy (if you received one) and change your vote.</w:t>
      </w:r>
    </w:p>
    <w:p>
      <w:pPr>
        <w:spacing w:after="0" w:line="13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Proxy Authority: </w:t>
      </w:r>
      <w:r>
        <w:rPr>
          <w:rFonts w:ascii="Arial" w:cs="Arial" w:eastAsia="Arial" w:hAnsi="Arial"/>
          <w:sz w:val="16"/>
          <w:szCs w:val="16"/>
          <w:color w:val="auto"/>
        </w:rPr>
        <w:t>When you submit your proxy, you authorize Ronald F. Clarke and Peter Walker, or either one of them, each</w:t>
      </w:r>
      <w:r>
        <w:rPr>
          <w:rFonts w:ascii="Arial" w:cs="Arial" w:eastAsia="Arial" w:hAnsi="Arial"/>
          <w:sz w:val="16"/>
          <w:szCs w:val="16"/>
          <w:b w:val="1"/>
          <w:bCs w:val="1"/>
          <w:color w:val="auto"/>
        </w:rPr>
        <w:t xml:space="preserve"> </w:t>
      </w:r>
      <w:r>
        <w:rPr>
          <w:rFonts w:ascii="Arial" w:cs="Arial" w:eastAsia="Arial" w:hAnsi="Arial"/>
          <w:sz w:val="16"/>
          <w:szCs w:val="16"/>
          <w:color w:val="auto"/>
        </w:rPr>
        <w:t>with full power of substitution, to vote your shares at the annual meeting in accordance with your instructions or, if no instructions are given, in accordance with the Board’s recommendations as described in the table above.</w:t>
      </w:r>
    </w:p>
    <w:p>
      <w:pPr>
        <w:spacing w:after="0" w:line="13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proxies, in their discretion, are further authorized to vote on any adjournments or postponements of the annual meeting, for the election of one or more persons to the Board if any of the nominees becomes unable to serve or for good cause will not serve, on matters which the Board does not know a reasonable time before making the proxy solicitations will be presented at the annual meeting or any other matters which may properly come before the annual meeting and any postponements or adjournments thereto.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76</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29" w:right="1419" w:bottom="1440" w:gutter="0" w:footer="0" w:header="0"/>
        </w:sectPr>
      </w:pPr>
    </w:p>
    <w:bookmarkStart w:id="82" w:name="page83"/>
    <w:bookmarkEnd w:id="82"/>
    <w:p>
      <w:pPr>
        <w:ind w:left="60"/>
        <w:spacing w:after="0"/>
        <w:tabs>
          <w:tab w:leader="none" w:pos="71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22. ADDITIONAL INFORMATION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color w:val="C43776"/>
        </w:rPr>
        <w:t>Householding of Proxy Materials</w:t>
      </w:r>
    </w:p>
    <w:p>
      <w:pPr>
        <w:spacing w:after="0" w:line="159" w:lineRule="exact"/>
        <w:rPr>
          <w:sz w:val="20"/>
          <w:szCs w:val="20"/>
          <w:color w:val="auto"/>
        </w:rPr>
      </w:pPr>
    </w:p>
    <w:p>
      <w:pPr>
        <w:ind w:right="59"/>
        <w:spacing w:after="0" w:line="265" w:lineRule="auto"/>
        <w:rPr>
          <w:sz w:val="20"/>
          <w:szCs w:val="20"/>
          <w:color w:val="auto"/>
        </w:rPr>
      </w:pPr>
      <w:r>
        <w:rPr>
          <w:rFonts w:ascii="Arial" w:cs="Arial" w:eastAsia="Arial" w:hAnsi="Arial"/>
          <w:sz w:val="16"/>
          <w:szCs w:val="16"/>
          <w:color w:val="auto"/>
        </w:rPr>
        <w:t>The SEC has adopted rules that permit companies and intermediaries (such as banks and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spacing w:after="0" w:line="119" w:lineRule="exact"/>
        <w:rPr>
          <w:sz w:val="20"/>
          <w:szCs w:val="20"/>
          <w:color w:val="auto"/>
        </w:rPr>
      </w:pPr>
    </w:p>
    <w:p>
      <w:pPr>
        <w:ind w:right="19"/>
        <w:spacing w:after="0" w:line="258" w:lineRule="auto"/>
        <w:rPr>
          <w:sz w:val="20"/>
          <w:szCs w:val="20"/>
          <w:color w:val="auto"/>
        </w:rPr>
      </w:pPr>
      <w:r>
        <w:rPr>
          <w:rFonts w:ascii="Arial" w:cs="Arial" w:eastAsia="Arial" w:hAnsi="Arial"/>
          <w:sz w:val="16"/>
          <w:szCs w:val="16"/>
          <w:color w:val="auto"/>
        </w:rPr>
        <w:t>This year, a number of banks and brokers with account holders who are shareholders will be “householding” our proxy materials. A single Proxy Statement will be delivered to multiple shareholders sharing an address unless contrary instructions have been received from the affected shareholders.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annual report, or Notice of Internet Availability of Proxy Materials, as applicable, please notify your bank or broker, direct your written request to Corpay, Inc., Attention: Corporate Secretary, 3280 Peachtree Road, Suite 2400, Atlanta, Georgia 30305, HOUSEHOLDING, or call (770) 417-4697, and we will deliver a separate copy of the Proxy Statement upon request. Shareholders who currently receive multiple copies of the Proxy Statement and annual report at their address and would like to request “householding” of their communications should contact their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77</w:t>
      </w:r>
    </w:p>
    <w:p>
      <w:pPr>
        <w:sectPr>
          <w:pgSz w:w="11900" w:h="16838" w:orient="portrait"/>
          <w:cols w:equalWidth="0" w:num="1">
            <w:col w:w="9059"/>
          </w:cols>
          <w:pgMar w:left="1400" w:top="729" w:right="1440" w:bottom="1440" w:gutter="0" w:footer="0" w:header="0"/>
        </w:sectPr>
      </w:pPr>
    </w:p>
    <w:bookmarkStart w:id="83" w:name="page84"/>
    <w:bookmarkEnd w:id="83"/>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color w:val="auto"/>
        </w:rPr>
        <w:t>23. APPENDIX A</w:t>
      </w: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C43776"/>
        </w:rPr>
        <w:t>Management’s Use of Non-GAAP Financial Measures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Adjusted Net Income and Adjusted Net Income Per Diluted Share</w:t>
      </w:r>
    </w:p>
    <w:p>
      <w:pPr>
        <w:spacing w:after="0" w:line="13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defined the non-GAAP measure adjusted net income as net income as reflected in our statement of income, adjusted to eliminate (a) non-cash stock based compensation expense related to stock-based compensation awards, (b) amortization of deferred financing costs, discounts, intangible assets, amortization of the premium recognized on the purchase of receivables and amortization attributable to our noncontrolling interest,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redemption value adjustment for noncontrolling interest and legal settlements and related legal fees. We calculate adjusted net income and adjusted net income per diluted share to eliminate the effect of items that we do not consider indicative of our core operating performance.</w:t>
      </w:r>
    </w:p>
    <w:p>
      <w:pPr>
        <w:spacing w:after="0" w:line="12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have defined the non-GAAP measure adjusted net income per diluted share as the calculation previously noted divided by the weighted average diluted shares outstanding as reflected in our statement of income.</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Adjusted net income attributable to Corpay and adjusted net income per diluted share are supplemental measures of operating performance that do not represent and should not be considered as an alternative to net income, net income per diluted share or cash flow from operations, as determined by U.S. generally accepted accounting principles, or U.S. GAAP. We believe it is useful to exclude non-cash share-based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using the effective tax rate during the period, exclusive of discrete tax items.</w:t>
      </w: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color w:val="auto"/>
        </w:rPr>
        <w:t>Reconciliation of Net Income to Pro Forma Adjusted Net Income</w:t>
      </w:r>
    </w:p>
    <w:p>
      <w:pPr>
        <w:spacing w:after="0" w:line="15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Set forth below is a reconciliation of adjusted net income and adjusted net income per diluted share attributable to Corpay to the most directly comparable GAAP measure, net income and net income per diluted share (in millions,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100" w:type="dxa"/>
            <w:vAlign w:val="bottom"/>
            <w:shd w:val="clear" w:color="auto" w:fill="C43776"/>
          </w:tcPr>
          <w:p>
            <w:pPr>
              <w:spacing w:after="0"/>
              <w:rPr>
                <w:sz w:val="24"/>
                <w:szCs w:val="24"/>
                <w:color w:val="auto"/>
              </w:rPr>
            </w:pPr>
          </w:p>
        </w:tc>
        <w:tc>
          <w:tcPr>
            <w:tcW w:w="1100" w:type="dxa"/>
            <w:vAlign w:val="bottom"/>
            <w:shd w:val="clear" w:color="auto" w:fill="C43776"/>
          </w:tcPr>
          <w:p>
            <w:pPr>
              <w:spacing w:after="0"/>
              <w:rPr>
                <w:sz w:val="24"/>
                <w:szCs w:val="24"/>
                <w:color w:val="auto"/>
              </w:rPr>
            </w:pPr>
          </w:p>
        </w:tc>
        <w:tc>
          <w:tcPr>
            <w:tcW w:w="500" w:type="dxa"/>
            <w:vAlign w:val="bottom"/>
            <w:shd w:val="clear" w:color="auto" w:fill="C43776"/>
          </w:tcPr>
          <w:p>
            <w:pPr>
              <w:jc w:val="center"/>
              <w:spacing w:after="0"/>
              <w:rPr>
                <w:sz w:val="20"/>
                <w:szCs w:val="20"/>
                <w:color w:val="auto"/>
              </w:rPr>
            </w:pPr>
            <w:r>
              <w:rPr>
                <w:rFonts w:ascii="Arial" w:cs="Arial" w:eastAsia="Arial" w:hAnsi="Arial"/>
                <w:sz w:val="14"/>
                <w:szCs w:val="14"/>
                <w:b w:val="1"/>
                <w:bCs w:val="1"/>
                <w:color w:val="FFFFFF"/>
              </w:rPr>
              <w:t>2025</w:t>
            </w:r>
          </w:p>
        </w:tc>
        <w:tc>
          <w:tcPr>
            <w:tcW w:w="480" w:type="dxa"/>
            <w:vAlign w:val="bottom"/>
            <w:shd w:val="clear" w:color="auto" w:fill="C43776"/>
          </w:tcPr>
          <w:p>
            <w:pPr>
              <w:jc w:val="center"/>
              <w:spacing w:after="0"/>
              <w:rPr>
                <w:sz w:val="20"/>
                <w:szCs w:val="20"/>
                <w:color w:val="auto"/>
              </w:rPr>
            </w:pPr>
            <w:r>
              <w:rPr>
                <w:rFonts w:ascii="Arial" w:cs="Arial" w:eastAsia="Arial" w:hAnsi="Arial"/>
                <w:sz w:val="14"/>
                <w:szCs w:val="14"/>
                <w:b w:val="1"/>
                <w:bCs w:val="1"/>
                <w:color w:val="FFFFFF"/>
              </w:rPr>
              <w:t>2024</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2023</w:t>
            </w:r>
          </w:p>
        </w:tc>
        <w:tc>
          <w:tcPr>
            <w:tcW w:w="50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2022</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2021</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2020</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2019</w:t>
            </w:r>
          </w:p>
        </w:tc>
        <w:tc>
          <w:tcPr>
            <w:tcW w:w="50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2018</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2017</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2016</w:t>
            </w:r>
          </w:p>
        </w:tc>
        <w:tc>
          <w:tcPr>
            <w:tcW w:w="50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2015</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2014</w:t>
            </w:r>
          </w:p>
        </w:tc>
        <w:tc>
          <w:tcPr>
            <w:tcW w:w="480" w:type="dxa"/>
            <w:vAlign w:val="bottom"/>
            <w:gridSpan w:val="2"/>
            <w:shd w:val="clear" w:color="auto" w:fill="C43776"/>
          </w:tcPr>
          <w:p>
            <w:pPr>
              <w:jc w:val="right"/>
              <w:ind w:right="17"/>
              <w:spacing w:after="0"/>
              <w:rPr>
                <w:sz w:val="20"/>
                <w:szCs w:val="20"/>
                <w:color w:val="auto"/>
              </w:rPr>
            </w:pPr>
            <w:r>
              <w:rPr>
                <w:rFonts w:ascii="Arial" w:cs="Arial" w:eastAsia="Arial" w:hAnsi="Arial"/>
                <w:sz w:val="14"/>
                <w:szCs w:val="14"/>
                <w:b w:val="1"/>
                <w:bCs w:val="1"/>
                <w:color w:val="FFFFFF"/>
              </w:rPr>
              <w:t>2013</w:t>
            </w:r>
          </w:p>
        </w:tc>
        <w:tc>
          <w:tcPr>
            <w:tcW w:w="480" w:type="dxa"/>
            <w:vAlign w:val="bottom"/>
            <w:gridSpan w:val="2"/>
            <w:shd w:val="clear" w:color="auto" w:fill="C43776"/>
          </w:tcPr>
          <w:p>
            <w:pPr>
              <w:jc w:val="right"/>
              <w:spacing w:after="0"/>
              <w:rPr>
                <w:sz w:val="20"/>
                <w:szCs w:val="20"/>
                <w:color w:val="auto"/>
              </w:rPr>
            </w:pPr>
            <w:r>
              <w:rPr>
                <w:rFonts w:ascii="Arial" w:cs="Arial" w:eastAsia="Arial" w:hAnsi="Arial"/>
                <w:sz w:val="14"/>
                <w:szCs w:val="14"/>
                <w:b w:val="1"/>
                <w:bCs w:val="1"/>
                <w:color w:val="FFFFFF"/>
              </w:rPr>
              <w:t>2012</w:t>
            </w:r>
          </w:p>
        </w:tc>
        <w:tc>
          <w:tcPr>
            <w:tcW w:w="50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2011</w:t>
            </w:r>
          </w:p>
        </w:tc>
        <w:tc>
          <w:tcPr>
            <w:tcW w:w="580" w:type="dxa"/>
            <w:vAlign w:val="bottom"/>
            <w:gridSpan w:val="2"/>
            <w:shd w:val="clear" w:color="auto" w:fill="C43776"/>
          </w:tcPr>
          <w:p>
            <w:pPr>
              <w:jc w:val="right"/>
              <w:ind w:right="117"/>
              <w:spacing w:after="0"/>
              <w:rPr>
                <w:sz w:val="20"/>
                <w:szCs w:val="20"/>
                <w:color w:val="auto"/>
              </w:rPr>
            </w:pPr>
            <w:r>
              <w:rPr>
                <w:rFonts w:ascii="Arial" w:cs="Arial" w:eastAsia="Arial" w:hAnsi="Arial"/>
                <w:sz w:val="14"/>
                <w:szCs w:val="14"/>
                <w:b w:val="1"/>
                <w:bCs w:val="1"/>
                <w:color w:val="FFFFFF"/>
              </w:rPr>
              <w:t>2010</w:t>
            </w:r>
          </w:p>
        </w:tc>
        <w:tc>
          <w:tcPr>
            <w:tcW w:w="0" w:type="dxa"/>
            <w:vAlign w:val="bottom"/>
          </w:tcPr>
          <w:p>
            <w:pPr>
              <w:spacing w:after="0"/>
              <w:rPr>
                <w:sz w:val="1"/>
                <w:szCs w:val="1"/>
                <w:color w:val="auto"/>
              </w:rPr>
            </w:pPr>
          </w:p>
        </w:tc>
      </w:tr>
      <w:tr>
        <w:trPr>
          <w:trHeight w:val="94"/>
        </w:trPr>
        <w:tc>
          <w:tcPr>
            <w:tcW w:w="100" w:type="dxa"/>
            <w:vAlign w:val="bottom"/>
            <w:shd w:val="clear" w:color="auto" w:fill="C43776"/>
          </w:tcPr>
          <w:p>
            <w:pPr>
              <w:spacing w:after="0"/>
              <w:rPr>
                <w:sz w:val="8"/>
                <w:szCs w:val="8"/>
                <w:color w:val="auto"/>
              </w:rPr>
            </w:pPr>
          </w:p>
        </w:tc>
        <w:tc>
          <w:tcPr>
            <w:tcW w:w="1100" w:type="dxa"/>
            <w:vAlign w:val="bottom"/>
            <w:shd w:val="clear" w:color="auto" w:fill="C43776"/>
          </w:tcPr>
          <w:p>
            <w:pPr>
              <w:spacing w:after="0"/>
              <w:rPr>
                <w:sz w:val="8"/>
                <w:szCs w:val="8"/>
                <w:color w:val="auto"/>
              </w:rPr>
            </w:pPr>
          </w:p>
        </w:tc>
        <w:tc>
          <w:tcPr>
            <w:tcW w:w="500" w:type="dxa"/>
            <w:vAlign w:val="bottom"/>
            <w:shd w:val="clear" w:color="auto" w:fill="C43776"/>
          </w:tcPr>
          <w:p>
            <w:pPr>
              <w:spacing w:after="0"/>
              <w:rPr>
                <w:sz w:val="8"/>
                <w:szCs w:val="8"/>
                <w:color w:val="auto"/>
              </w:rPr>
            </w:pPr>
          </w:p>
        </w:tc>
        <w:tc>
          <w:tcPr>
            <w:tcW w:w="480" w:type="dxa"/>
            <w:vAlign w:val="bottom"/>
            <w:shd w:val="clear" w:color="auto" w:fill="C43776"/>
          </w:tcPr>
          <w:p>
            <w:pPr>
              <w:spacing w:after="0"/>
              <w:rPr>
                <w:sz w:val="8"/>
                <w:szCs w:val="8"/>
                <w:color w:val="auto"/>
              </w:rPr>
            </w:pPr>
          </w:p>
        </w:tc>
        <w:tc>
          <w:tcPr>
            <w:tcW w:w="120" w:type="dxa"/>
            <w:vAlign w:val="bottom"/>
            <w:shd w:val="clear" w:color="auto" w:fill="C43776"/>
          </w:tcPr>
          <w:p>
            <w:pPr>
              <w:spacing w:after="0"/>
              <w:rPr>
                <w:sz w:val="8"/>
                <w:szCs w:val="8"/>
                <w:color w:val="auto"/>
              </w:rPr>
            </w:pPr>
          </w:p>
        </w:tc>
        <w:tc>
          <w:tcPr>
            <w:tcW w:w="360" w:type="dxa"/>
            <w:vAlign w:val="bottom"/>
            <w:shd w:val="clear" w:color="auto" w:fill="C43776"/>
          </w:tcPr>
          <w:p>
            <w:pPr>
              <w:spacing w:after="0"/>
              <w:rPr>
                <w:sz w:val="8"/>
                <w:szCs w:val="8"/>
                <w:color w:val="auto"/>
              </w:rPr>
            </w:pPr>
          </w:p>
        </w:tc>
        <w:tc>
          <w:tcPr>
            <w:tcW w:w="120" w:type="dxa"/>
            <w:vAlign w:val="bottom"/>
            <w:shd w:val="clear" w:color="auto" w:fill="C43776"/>
          </w:tcPr>
          <w:p>
            <w:pPr>
              <w:spacing w:after="0"/>
              <w:rPr>
                <w:sz w:val="8"/>
                <w:szCs w:val="8"/>
                <w:color w:val="auto"/>
              </w:rPr>
            </w:pPr>
          </w:p>
        </w:tc>
        <w:tc>
          <w:tcPr>
            <w:tcW w:w="380" w:type="dxa"/>
            <w:vAlign w:val="bottom"/>
            <w:shd w:val="clear" w:color="auto" w:fill="C43776"/>
          </w:tcPr>
          <w:p>
            <w:pPr>
              <w:spacing w:after="0"/>
              <w:rPr>
                <w:sz w:val="8"/>
                <w:szCs w:val="8"/>
                <w:color w:val="auto"/>
              </w:rPr>
            </w:pPr>
          </w:p>
        </w:tc>
        <w:tc>
          <w:tcPr>
            <w:tcW w:w="140" w:type="dxa"/>
            <w:vAlign w:val="bottom"/>
            <w:shd w:val="clear" w:color="auto" w:fill="C43776"/>
          </w:tcPr>
          <w:p>
            <w:pPr>
              <w:spacing w:after="0"/>
              <w:rPr>
                <w:sz w:val="8"/>
                <w:szCs w:val="8"/>
                <w:color w:val="auto"/>
              </w:rPr>
            </w:pPr>
          </w:p>
        </w:tc>
        <w:tc>
          <w:tcPr>
            <w:tcW w:w="34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2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2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40" w:type="dxa"/>
            <w:vAlign w:val="bottom"/>
            <w:shd w:val="clear" w:color="auto" w:fill="C43776"/>
          </w:tcPr>
          <w:p>
            <w:pPr>
              <w:spacing w:after="0"/>
              <w:rPr>
                <w:sz w:val="8"/>
                <w:szCs w:val="8"/>
                <w:color w:val="auto"/>
              </w:rPr>
            </w:pPr>
          </w:p>
        </w:tc>
        <w:tc>
          <w:tcPr>
            <w:tcW w:w="140" w:type="dxa"/>
            <w:vAlign w:val="bottom"/>
            <w:shd w:val="clear" w:color="auto" w:fill="C43776"/>
          </w:tcPr>
          <w:p>
            <w:pPr>
              <w:spacing w:after="0"/>
              <w:rPr>
                <w:sz w:val="8"/>
                <w:szCs w:val="8"/>
                <w:color w:val="auto"/>
              </w:rPr>
            </w:pPr>
          </w:p>
        </w:tc>
        <w:tc>
          <w:tcPr>
            <w:tcW w:w="34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2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40" w:type="dxa"/>
            <w:vAlign w:val="bottom"/>
            <w:shd w:val="clear" w:color="auto" w:fill="C43776"/>
          </w:tcPr>
          <w:p>
            <w:pPr>
              <w:spacing w:after="0"/>
              <w:rPr>
                <w:sz w:val="8"/>
                <w:szCs w:val="8"/>
                <w:color w:val="auto"/>
              </w:rPr>
            </w:pPr>
          </w:p>
        </w:tc>
        <w:tc>
          <w:tcPr>
            <w:tcW w:w="140" w:type="dxa"/>
            <w:vAlign w:val="bottom"/>
            <w:shd w:val="clear" w:color="auto" w:fill="C43776"/>
          </w:tcPr>
          <w:p>
            <w:pPr>
              <w:spacing w:after="0"/>
              <w:rPr>
                <w:sz w:val="8"/>
                <w:szCs w:val="8"/>
                <w:color w:val="auto"/>
              </w:rPr>
            </w:pPr>
          </w:p>
        </w:tc>
        <w:tc>
          <w:tcPr>
            <w:tcW w:w="34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2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2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340" w:type="dxa"/>
            <w:vAlign w:val="bottom"/>
            <w:shd w:val="clear" w:color="auto" w:fill="C43776"/>
          </w:tcPr>
          <w:p>
            <w:pPr>
              <w:spacing w:after="0"/>
              <w:rPr>
                <w:sz w:val="8"/>
                <w:szCs w:val="8"/>
                <w:color w:val="auto"/>
              </w:rPr>
            </w:pPr>
          </w:p>
        </w:tc>
        <w:tc>
          <w:tcPr>
            <w:tcW w:w="160" w:type="dxa"/>
            <w:vAlign w:val="bottom"/>
            <w:shd w:val="clear" w:color="auto" w:fill="C43776"/>
          </w:tcPr>
          <w:p>
            <w:pPr>
              <w:spacing w:after="0"/>
              <w:rPr>
                <w:sz w:val="8"/>
                <w:szCs w:val="8"/>
                <w:color w:val="auto"/>
              </w:rPr>
            </w:pPr>
          </w:p>
        </w:tc>
        <w:tc>
          <w:tcPr>
            <w:tcW w:w="42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auto"/>
              </w:rPr>
              <w:t>attributable to</w:t>
            </w:r>
          </w:p>
        </w:tc>
        <w:tc>
          <w:tcPr>
            <w:tcW w:w="500" w:type="dxa"/>
            <w:vAlign w:val="bottom"/>
          </w:tcPr>
          <w:p>
            <w:pPr>
              <w:jc w:val="center"/>
              <w:spacing w:after="0"/>
              <w:rPr>
                <w:sz w:val="20"/>
                <w:szCs w:val="20"/>
                <w:color w:val="auto"/>
              </w:rPr>
            </w:pPr>
            <w:r>
              <w:rPr>
                <w:rFonts w:ascii="Arial" w:cs="Arial" w:eastAsia="Arial" w:hAnsi="Arial"/>
                <w:sz w:val="13"/>
                <w:szCs w:val="13"/>
                <w:color w:val="auto"/>
                <w:w w:val="95"/>
              </w:rPr>
              <w:t>$1,070</w:t>
            </w:r>
          </w:p>
        </w:tc>
        <w:tc>
          <w:tcPr>
            <w:tcW w:w="480" w:type="dxa"/>
            <w:vAlign w:val="bottom"/>
          </w:tcPr>
          <w:p>
            <w:pPr>
              <w:jc w:val="center"/>
              <w:spacing w:after="0"/>
              <w:rPr>
                <w:sz w:val="20"/>
                <w:szCs w:val="20"/>
                <w:color w:val="auto"/>
              </w:rPr>
            </w:pPr>
            <w:r>
              <w:rPr>
                <w:rFonts w:ascii="Arial" w:cs="Arial" w:eastAsia="Arial" w:hAnsi="Arial"/>
                <w:sz w:val="13"/>
                <w:szCs w:val="13"/>
                <w:color w:val="auto"/>
                <w:w w:val="95"/>
              </w:rPr>
              <w:t>$1,004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982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954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839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704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895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811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740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452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362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369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285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216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147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auto"/>
              </w:rPr>
              <w:t>Corpay</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00" w:type="dxa"/>
            <w:vAlign w:val="bottom"/>
            <w:shd w:val="clear" w:color="auto" w:fill="F1F2F2"/>
          </w:tcPr>
          <w:p>
            <w:pPr>
              <w:spacing w:after="0"/>
              <w:rPr>
                <w:sz w:val="18"/>
                <w:szCs w:val="18"/>
                <w:color w:val="auto"/>
              </w:rPr>
            </w:pPr>
          </w:p>
        </w:tc>
        <w:tc>
          <w:tcPr>
            <w:tcW w:w="1100" w:type="dxa"/>
            <w:vAlign w:val="bottom"/>
            <w:shd w:val="clear" w:color="auto" w:fill="F1F2F2"/>
          </w:tcPr>
          <w:p>
            <w:pPr>
              <w:ind w:left="40"/>
              <w:spacing w:after="0"/>
              <w:rPr>
                <w:sz w:val="20"/>
                <w:szCs w:val="20"/>
                <w:color w:val="auto"/>
              </w:rPr>
            </w:pPr>
            <w:r>
              <w:rPr>
                <w:rFonts w:ascii="Arial" w:cs="Arial" w:eastAsia="Arial" w:hAnsi="Arial"/>
                <w:sz w:val="13"/>
                <w:szCs w:val="13"/>
                <w:color w:val="auto"/>
              </w:rPr>
              <w:t>Net income per</w:t>
            </w:r>
          </w:p>
        </w:tc>
        <w:tc>
          <w:tcPr>
            <w:tcW w:w="50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5"/>
              </w:rPr>
              <w:t>$15.03</w:t>
            </w:r>
          </w:p>
        </w:tc>
        <w:tc>
          <w:tcPr>
            <w:tcW w:w="4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5"/>
              </w:rPr>
              <w:t>$13.97</w:t>
            </w:r>
          </w:p>
        </w:tc>
        <w:tc>
          <w:tcPr>
            <w:tcW w:w="1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w w:val="92"/>
              </w:rPr>
              <w:t>13.20</w:t>
            </w:r>
          </w:p>
        </w:tc>
        <w:tc>
          <w:tcPr>
            <w:tcW w:w="1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w w:val="92"/>
              </w:rPr>
              <w:t>12.42</w:t>
            </w:r>
          </w:p>
        </w:tc>
        <w:tc>
          <w:tcPr>
            <w:tcW w:w="1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9.99</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8.12</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9.94</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8.81</w:t>
            </w:r>
          </w:p>
        </w:tc>
        <w:tc>
          <w:tcPr>
            <w:tcW w:w="1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7.91</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4.75</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3.85</w:t>
            </w:r>
          </w:p>
        </w:tc>
        <w:tc>
          <w:tcPr>
            <w:tcW w:w="1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4.24</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3.36</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2.52</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1.76</w:t>
            </w:r>
          </w:p>
        </w:tc>
        <w:tc>
          <w:tcPr>
            <w:tcW w:w="1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F1F2F2"/>
          </w:tcPr>
          <w:p>
            <w:pPr>
              <w:jc w:val="right"/>
              <w:ind w:right="77"/>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85"/>
        </w:trPr>
        <w:tc>
          <w:tcPr>
            <w:tcW w:w="100" w:type="dxa"/>
            <w:vAlign w:val="bottom"/>
            <w:shd w:val="clear" w:color="auto" w:fill="F1F2F2"/>
          </w:tcPr>
          <w:p>
            <w:pPr>
              <w:spacing w:after="0"/>
              <w:rPr>
                <w:sz w:val="7"/>
                <w:szCs w:val="7"/>
                <w:color w:val="auto"/>
              </w:rPr>
            </w:pPr>
          </w:p>
        </w:tc>
        <w:tc>
          <w:tcPr>
            <w:tcW w:w="1100" w:type="dxa"/>
            <w:vAlign w:val="bottom"/>
            <w:vMerge w:val="restart"/>
            <w:shd w:val="clear" w:color="auto" w:fill="F1F2F2"/>
          </w:tcPr>
          <w:p>
            <w:pPr>
              <w:ind w:left="40"/>
              <w:spacing w:after="0"/>
              <w:rPr>
                <w:sz w:val="20"/>
                <w:szCs w:val="20"/>
                <w:color w:val="auto"/>
              </w:rPr>
            </w:pPr>
            <w:r>
              <w:rPr>
                <w:rFonts w:ascii="Arial" w:cs="Arial" w:eastAsia="Arial" w:hAnsi="Arial"/>
                <w:sz w:val="13"/>
                <w:szCs w:val="13"/>
                <w:color w:val="auto"/>
              </w:rPr>
              <w:t>diluted share</w:t>
            </w:r>
          </w:p>
        </w:tc>
        <w:tc>
          <w:tcPr>
            <w:tcW w:w="500" w:type="dxa"/>
            <w:vAlign w:val="bottom"/>
            <w:vMerge w:val="continue"/>
            <w:shd w:val="clear" w:color="auto" w:fill="F1F2F2"/>
          </w:tcPr>
          <w:p>
            <w:pPr>
              <w:spacing w:after="0"/>
              <w:rPr>
                <w:sz w:val="7"/>
                <w:szCs w:val="7"/>
                <w:color w:val="auto"/>
              </w:rPr>
            </w:pPr>
          </w:p>
        </w:tc>
        <w:tc>
          <w:tcPr>
            <w:tcW w:w="480" w:type="dxa"/>
            <w:vAlign w:val="bottom"/>
            <w:vMerge w:val="continue"/>
            <w:shd w:val="clear" w:color="auto" w:fill="F1F2F2"/>
          </w:tcPr>
          <w:p>
            <w:pPr>
              <w:spacing w:after="0"/>
              <w:rPr>
                <w:sz w:val="7"/>
                <w:szCs w:val="7"/>
                <w:color w:val="auto"/>
              </w:rPr>
            </w:pPr>
          </w:p>
        </w:tc>
        <w:tc>
          <w:tcPr>
            <w:tcW w:w="120" w:type="dxa"/>
            <w:vAlign w:val="bottom"/>
            <w:vMerge w:val="continue"/>
            <w:shd w:val="clear" w:color="auto" w:fill="F1F2F2"/>
          </w:tcPr>
          <w:p>
            <w:pPr>
              <w:spacing w:after="0"/>
              <w:rPr>
                <w:sz w:val="7"/>
                <w:szCs w:val="7"/>
                <w:color w:val="auto"/>
              </w:rPr>
            </w:pPr>
          </w:p>
        </w:tc>
        <w:tc>
          <w:tcPr>
            <w:tcW w:w="360" w:type="dxa"/>
            <w:vAlign w:val="bottom"/>
            <w:vMerge w:val="continue"/>
            <w:shd w:val="clear" w:color="auto" w:fill="F1F2F2"/>
          </w:tcPr>
          <w:p>
            <w:pPr>
              <w:spacing w:after="0"/>
              <w:rPr>
                <w:sz w:val="7"/>
                <w:szCs w:val="7"/>
                <w:color w:val="auto"/>
              </w:rPr>
            </w:pPr>
          </w:p>
        </w:tc>
        <w:tc>
          <w:tcPr>
            <w:tcW w:w="120" w:type="dxa"/>
            <w:vAlign w:val="bottom"/>
            <w:vMerge w:val="continue"/>
            <w:shd w:val="clear" w:color="auto" w:fill="F1F2F2"/>
          </w:tcPr>
          <w:p>
            <w:pPr>
              <w:spacing w:after="0"/>
              <w:rPr>
                <w:sz w:val="7"/>
                <w:szCs w:val="7"/>
                <w:color w:val="auto"/>
              </w:rPr>
            </w:pPr>
          </w:p>
        </w:tc>
        <w:tc>
          <w:tcPr>
            <w:tcW w:w="380" w:type="dxa"/>
            <w:vAlign w:val="bottom"/>
            <w:vMerge w:val="continue"/>
            <w:shd w:val="clear" w:color="auto" w:fill="F1F2F2"/>
          </w:tcPr>
          <w:p>
            <w:pPr>
              <w:spacing w:after="0"/>
              <w:rPr>
                <w:sz w:val="7"/>
                <w:szCs w:val="7"/>
                <w:color w:val="auto"/>
              </w:rPr>
            </w:pPr>
          </w:p>
        </w:tc>
        <w:tc>
          <w:tcPr>
            <w:tcW w:w="140" w:type="dxa"/>
            <w:vAlign w:val="bottom"/>
            <w:vMerge w:val="continue"/>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2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2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40" w:type="dxa"/>
            <w:vAlign w:val="bottom"/>
            <w:vMerge w:val="continue"/>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2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40" w:type="dxa"/>
            <w:vAlign w:val="bottom"/>
            <w:vMerge w:val="continue"/>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2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2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60" w:type="dxa"/>
            <w:vAlign w:val="bottom"/>
            <w:vMerge w:val="continue"/>
            <w:shd w:val="clear" w:color="auto" w:fill="F1F2F2"/>
          </w:tcPr>
          <w:p>
            <w:pPr>
              <w:spacing w:after="0"/>
              <w:rPr>
                <w:sz w:val="7"/>
                <w:szCs w:val="7"/>
                <w:color w:val="auto"/>
              </w:rPr>
            </w:pPr>
          </w:p>
        </w:tc>
        <w:tc>
          <w:tcPr>
            <w:tcW w:w="42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1F2F2"/>
          </w:tcPr>
          <w:p>
            <w:pPr>
              <w:spacing w:after="0"/>
              <w:rPr>
                <w:sz w:val="7"/>
                <w:szCs w:val="7"/>
                <w:color w:val="auto"/>
              </w:rPr>
            </w:pPr>
          </w:p>
        </w:tc>
        <w:tc>
          <w:tcPr>
            <w:tcW w:w="1100" w:type="dxa"/>
            <w:vAlign w:val="bottom"/>
            <w:vMerge w:val="continue"/>
            <w:shd w:val="clear" w:color="auto" w:fill="F1F2F2"/>
          </w:tcPr>
          <w:p>
            <w:pPr>
              <w:spacing w:after="0"/>
              <w:rPr>
                <w:sz w:val="7"/>
                <w:szCs w:val="7"/>
                <w:color w:val="auto"/>
              </w:rPr>
            </w:pPr>
          </w:p>
        </w:tc>
        <w:tc>
          <w:tcPr>
            <w:tcW w:w="5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36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38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34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2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2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4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34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2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4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34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2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2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34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42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0" w:type="dxa"/>
            <w:vAlign w:val="bottom"/>
            <w:shd w:val="clear" w:color="auto" w:fill="F1F2F2"/>
          </w:tcPr>
          <w:p>
            <w:pPr>
              <w:spacing w:after="0"/>
              <w:rPr>
                <w:sz w:val="4"/>
                <w:szCs w:val="4"/>
                <w:color w:val="auto"/>
              </w:rPr>
            </w:pPr>
          </w:p>
        </w:tc>
        <w:tc>
          <w:tcPr>
            <w:tcW w:w="1100" w:type="dxa"/>
            <w:vAlign w:val="bottom"/>
            <w:shd w:val="clear" w:color="auto" w:fill="F1F2F2"/>
          </w:tcPr>
          <w:p>
            <w:pPr>
              <w:spacing w:after="0"/>
              <w:rPr>
                <w:sz w:val="4"/>
                <w:szCs w:val="4"/>
                <w:color w:val="auto"/>
              </w:rPr>
            </w:pPr>
          </w:p>
        </w:tc>
        <w:tc>
          <w:tcPr>
            <w:tcW w:w="500" w:type="dxa"/>
            <w:vAlign w:val="bottom"/>
            <w:shd w:val="clear" w:color="auto" w:fill="F1F2F2"/>
          </w:tcPr>
          <w:p>
            <w:pPr>
              <w:spacing w:after="0"/>
              <w:rPr>
                <w:sz w:val="4"/>
                <w:szCs w:val="4"/>
                <w:color w:val="auto"/>
              </w:rPr>
            </w:pPr>
          </w:p>
        </w:tc>
        <w:tc>
          <w:tcPr>
            <w:tcW w:w="480" w:type="dxa"/>
            <w:vAlign w:val="bottom"/>
            <w:shd w:val="clear" w:color="auto" w:fill="F1F2F2"/>
          </w:tcPr>
          <w:p>
            <w:pPr>
              <w:spacing w:after="0"/>
              <w:rPr>
                <w:sz w:val="4"/>
                <w:szCs w:val="4"/>
                <w:color w:val="auto"/>
              </w:rPr>
            </w:pPr>
          </w:p>
        </w:tc>
        <w:tc>
          <w:tcPr>
            <w:tcW w:w="120" w:type="dxa"/>
            <w:vAlign w:val="bottom"/>
            <w:shd w:val="clear" w:color="auto" w:fill="F1F2F2"/>
          </w:tcPr>
          <w:p>
            <w:pPr>
              <w:spacing w:after="0"/>
              <w:rPr>
                <w:sz w:val="4"/>
                <w:szCs w:val="4"/>
                <w:color w:val="auto"/>
              </w:rPr>
            </w:pPr>
          </w:p>
        </w:tc>
        <w:tc>
          <w:tcPr>
            <w:tcW w:w="360" w:type="dxa"/>
            <w:vAlign w:val="bottom"/>
            <w:shd w:val="clear" w:color="auto" w:fill="F1F2F2"/>
          </w:tcPr>
          <w:p>
            <w:pPr>
              <w:spacing w:after="0"/>
              <w:rPr>
                <w:sz w:val="4"/>
                <w:szCs w:val="4"/>
                <w:color w:val="auto"/>
              </w:rPr>
            </w:pPr>
          </w:p>
        </w:tc>
        <w:tc>
          <w:tcPr>
            <w:tcW w:w="120" w:type="dxa"/>
            <w:vAlign w:val="bottom"/>
            <w:shd w:val="clear" w:color="auto" w:fill="F1F2F2"/>
          </w:tcPr>
          <w:p>
            <w:pPr>
              <w:spacing w:after="0"/>
              <w:rPr>
                <w:sz w:val="4"/>
                <w:szCs w:val="4"/>
                <w:color w:val="auto"/>
              </w:rPr>
            </w:pPr>
          </w:p>
        </w:tc>
        <w:tc>
          <w:tcPr>
            <w:tcW w:w="380" w:type="dxa"/>
            <w:vAlign w:val="bottom"/>
            <w:shd w:val="clear" w:color="auto" w:fill="F1F2F2"/>
          </w:tcPr>
          <w:p>
            <w:pPr>
              <w:spacing w:after="0"/>
              <w:rPr>
                <w:sz w:val="4"/>
                <w:szCs w:val="4"/>
                <w:color w:val="auto"/>
              </w:rPr>
            </w:pPr>
          </w:p>
        </w:tc>
        <w:tc>
          <w:tcPr>
            <w:tcW w:w="140" w:type="dxa"/>
            <w:vAlign w:val="bottom"/>
            <w:shd w:val="clear" w:color="auto" w:fill="F1F2F2"/>
          </w:tcPr>
          <w:p>
            <w:pPr>
              <w:spacing w:after="0"/>
              <w:rPr>
                <w:sz w:val="4"/>
                <w:szCs w:val="4"/>
                <w:color w:val="auto"/>
              </w:rPr>
            </w:pPr>
          </w:p>
        </w:tc>
        <w:tc>
          <w:tcPr>
            <w:tcW w:w="34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2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2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40" w:type="dxa"/>
            <w:vAlign w:val="bottom"/>
            <w:shd w:val="clear" w:color="auto" w:fill="F1F2F2"/>
          </w:tcPr>
          <w:p>
            <w:pPr>
              <w:spacing w:after="0"/>
              <w:rPr>
                <w:sz w:val="4"/>
                <w:szCs w:val="4"/>
                <w:color w:val="auto"/>
              </w:rPr>
            </w:pPr>
          </w:p>
        </w:tc>
        <w:tc>
          <w:tcPr>
            <w:tcW w:w="140" w:type="dxa"/>
            <w:vAlign w:val="bottom"/>
            <w:shd w:val="clear" w:color="auto" w:fill="F1F2F2"/>
          </w:tcPr>
          <w:p>
            <w:pPr>
              <w:spacing w:after="0"/>
              <w:rPr>
                <w:sz w:val="4"/>
                <w:szCs w:val="4"/>
                <w:color w:val="auto"/>
              </w:rPr>
            </w:pPr>
          </w:p>
        </w:tc>
        <w:tc>
          <w:tcPr>
            <w:tcW w:w="34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2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40" w:type="dxa"/>
            <w:vAlign w:val="bottom"/>
            <w:shd w:val="clear" w:color="auto" w:fill="F1F2F2"/>
          </w:tcPr>
          <w:p>
            <w:pPr>
              <w:spacing w:after="0"/>
              <w:rPr>
                <w:sz w:val="4"/>
                <w:szCs w:val="4"/>
                <w:color w:val="auto"/>
              </w:rPr>
            </w:pPr>
          </w:p>
        </w:tc>
        <w:tc>
          <w:tcPr>
            <w:tcW w:w="140" w:type="dxa"/>
            <w:vAlign w:val="bottom"/>
            <w:shd w:val="clear" w:color="auto" w:fill="F1F2F2"/>
          </w:tcPr>
          <w:p>
            <w:pPr>
              <w:spacing w:after="0"/>
              <w:rPr>
                <w:sz w:val="4"/>
                <w:szCs w:val="4"/>
                <w:color w:val="auto"/>
              </w:rPr>
            </w:pPr>
          </w:p>
        </w:tc>
        <w:tc>
          <w:tcPr>
            <w:tcW w:w="34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2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2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340" w:type="dxa"/>
            <w:vAlign w:val="bottom"/>
            <w:shd w:val="clear" w:color="auto" w:fill="F1F2F2"/>
          </w:tcPr>
          <w:p>
            <w:pPr>
              <w:spacing w:after="0"/>
              <w:rPr>
                <w:sz w:val="4"/>
                <w:szCs w:val="4"/>
                <w:color w:val="auto"/>
              </w:rPr>
            </w:pPr>
          </w:p>
        </w:tc>
        <w:tc>
          <w:tcPr>
            <w:tcW w:w="160" w:type="dxa"/>
            <w:vAlign w:val="bottom"/>
            <w:shd w:val="clear" w:color="auto" w:fill="F1F2F2"/>
          </w:tcPr>
          <w:p>
            <w:pPr>
              <w:spacing w:after="0"/>
              <w:rPr>
                <w:sz w:val="4"/>
                <w:szCs w:val="4"/>
                <w:color w:val="auto"/>
              </w:rPr>
            </w:pPr>
          </w:p>
        </w:tc>
        <w:tc>
          <w:tcPr>
            <w:tcW w:w="420" w:type="dxa"/>
            <w:vAlign w:val="bottom"/>
            <w:shd w:val="clear" w:color="auto" w:fill="F1F2F2"/>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78</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1440" w:right="1419" w:bottom="1440" w:gutter="0" w:footer="0" w:header="0"/>
        </w:sectPr>
      </w:pPr>
    </w:p>
    <w:bookmarkStart w:id="84" w:name="page85"/>
    <w:bookmarkEnd w:id="84"/>
    <w:p>
      <w:pPr>
        <w:ind w:left="60"/>
        <w:spacing w:after="0"/>
        <w:tabs>
          <w:tab w:leader="none" w:pos="804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582D43"/>
        </w:rPr>
        <w:t>23. APPENDIX 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100" w:type="dxa"/>
            <w:vAlign w:val="bottom"/>
            <w:shd w:val="clear" w:color="auto" w:fill="C43776"/>
          </w:tcPr>
          <w:p>
            <w:pPr>
              <w:spacing w:after="0"/>
              <w:rPr>
                <w:sz w:val="24"/>
                <w:szCs w:val="24"/>
                <w:color w:val="auto"/>
              </w:rPr>
            </w:pPr>
          </w:p>
        </w:tc>
        <w:tc>
          <w:tcPr>
            <w:tcW w:w="1100" w:type="dxa"/>
            <w:vAlign w:val="bottom"/>
            <w:shd w:val="clear" w:color="auto" w:fill="C43776"/>
          </w:tcPr>
          <w:p>
            <w:pPr>
              <w:spacing w:after="0"/>
              <w:rPr>
                <w:sz w:val="24"/>
                <w:szCs w:val="24"/>
                <w:color w:val="auto"/>
              </w:rPr>
            </w:pPr>
          </w:p>
        </w:tc>
        <w:tc>
          <w:tcPr>
            <w:tcW w:w="500" w:type="dxa"/>
            <w:vAlign w:val="bottom"/>
            <w:shd w:val="clear" w:color="auto" w:fill="C43776"/>
          </w:tcPr>
          <w:p>
            <w:pPr>
              <w:jc w:val="right"/>
              <w:ind w:right="20"/>
              <w:spacing w:after="0"/>
              <w:rPr>
                <w:sz w:val="20"/>
                <w:szCs w:val="20"/>
                <w:color w:val="auto"/>
              </w:rPr>
            </w:pPr>
            <w:r>
              <w:rPr>
                <w:rFonts w:ascii="Arial" w:cs="Arial" w:eastAsia="Arial" w:hAnsi="Arial"/>
                <w:sz w:val="14"/>
                <w:szCs w:val="14"/>
                <w:b w:val="1"/>
                <w:bCs w:val="1"/>
                <w:color w:val="FFFFFF"/>
              </w:rPr>
              <w:t>2025</w:t>
            </w:r>
          </w:p>
        </w:tc>
        <w:tc>
          <w:tcPr>
            <w:tcW w:w="500" w:type="dxa"/>
            <w:vAlign w:val="bottom"/>
            <w:shd w:val="clear" w:color="auto" w:fill="C43776"/>
          </w:tcPr>
          <w:p>
            <w:pPr>
              <w:jc w:val="right"/>
              <w:ind w:right="36"/>
              <w:spacing w:after="0"/>
              <w:rPr>
                <w:sz w:val="20"/>
                <w:szCs w:val="20"/>
                <w:color w:val="auto"/>
              </w:rPr>
            </w:pPr>
            <w:r>
              <w:rPr>
                <w:rFonts w:ascii="Arial" w:cs="Arial" w:eastAsia="Arial" w:hAnsi="Arial"/>
                <w:sz w:val="14"/>
                <w:szCs w:val="14"/>
                <w:b w:val="1"/>
                <w:bCs w:val="1"/>
                <w:color w:val="FFFFFF"/>
              </w:rPr>
              <w:t>2024</w:t>
            </w:r>
          </w:p>
        </w:tc>
        <w:tc>
          <w:tcPr>
            <w:tcW w:w="480" w:type="dxa"/>
            <w:vAlign w:val="bottom"/>
            <w:shd w:val="clear" w:color="auto" w:fill="C43776"/>
          </w:tcPr>
          <w:p>
            <w:pPr>
              <w:jc w:val="right"/>
              <w:ind w:right="36"/>
              <w:spacing w:after="0"/>
              <w:rPr>
                <w:sz w:val="20"/>
                <w:szCs w:val="20"/>
                <w:color w:val="auto"/>
              </w:rPr>
            </w:pPr>
            <w:r>
              <w:rPr>
                <w:rFonts w:ascii="Arial" w:cs="Arial" w:eastAsia="Arial" w:hAnsi="Arial"/>
                <w:sz w:val="14"/>
                <w:szCs w:val="14"/>
                <w:b w:val="1"/>
                <w:bCs w:val="1"/>
                <w:color w:val="FFFFFF"/>
              </w:rPr>
              <w:t>2023</w:t>
            </w:r>
          </w:p>
        </w:tc>
        <w:tc>
          <w:tcPr>
            <w:tcW w:w="480" w:type="dxa"/>
            <w:vAlign w:val="bottom"/>
            <w:shd w:val="clear" w:color="auto" w:fill="C43776"/>
          </w:tcPr>
          <w:p>
            <w:pPr>
              <w:jc w:val="right"/>
              <w:ind w:right="16"/>
              <w:spacing w:after="0"/>
              <w:rPr>
                <w:sz w:val="20"/>
                <w:szCs w:val="20"/>
                <w:color w:val="auto"/>
              </w:rPr>
            </w:pPr>
            <w:r>
              <w:rPr>
                <w:rFonts w:ascii="Arial" w:cs="Arial" w:eastAsia="Arial" w:hAnsi="Arial"/>
                <w:sz w:val="14"/>
                <w:szCs w:val="14"/>
                <w:b w:val="1"/>
                <w:bCs w:val="1"/>
                <w:color w:val="FFFFFF"/>
              </w:rPr>
              <w:t>2022</w:t>
            </w:r>
          </w:p>
        </w:tc>
        <w:tc>
          <w:tcPr>
            <w:tcW w:w="500" w:type="dxa"/>
            <w:vAlign w:val="bottom"/>
            <w:shd w:val="clear" w:color="auto" w:fill="C43776"/>
          </w:tcPr>
          <w:p>
            <w:pPr>
              <w:jc w:val="right"/>
              <w:ind w:right="36"/>
              <w:spacing w:after="0"/>
              <w:rPr>
                <w:sz w:val="20"/>
                <w:szCs w:val="20"/>
                <w:color w:val="auto"/>
              </w:rPr>
            </w:pPr>
            <w:r>
              <w:rPr>
                <w:rFonts w:ascii="Arial" w:cs="Arial" w:eastAsia="Arial" w:hAnsi="Arial"/>
                <w:sz w:val="14"/>
                <w:szCs w:val="14"/>
                <w:b w:val="1"/>
                <w:bCs w:val="1"/>
                <w:color w:val="FFFFFF"/>
              </w:rPr>
              <w:t>2021</w:t>
            </w:r>
          </w:p>
        </w:tc>
        <w:tc>
          <w:tcPr>
            <w:tcW w:w="48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2020</w:t>
            </w:r>
          </w:p>
        </w:tc>
        <w:tc>
          <w:tcPr>
            <w:tcW w:w="480" w:type="dxa"/>
            <w:vAlign w:val="bottom"/>
            <w:shd w:val="clear" w:color="auto" w:fill="C43776"/>
          </w:tcPr>
          <w:p>
            <w:pPr>
              <w:jc w:val="right"/>
              <w:ind w:right="36"/>
              <w:spacing w:after="0"/>
              <w:rPr>
                <w:sz w:val="20"/>
                <w:szCs w:val="20"/>
                <w:color w:val="auto"/>
              </w:rPr>
            </w:pPr>
            <w:r>
              <w:rPr>
                <w:rFonts w:ascii="Arial" w:cs="Arial" w:eastAsia="Arial" w:hAnsi="Arial"/>
                <w:sz w:val="14"/>
                <w:szCs w:val="14"/>
                <w:b w:val="1"/>
                <w:bCs w:val="1"/>
                <w:color w:val="FFFFFF"/>
              </w:rPr>
              <w:t>2019</w:t>
            </w:r>
          </w:p>
        </w:tc>
        <w:tc>
          <w:tcPr>
            <w:tcW w:w="50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2018</w:t>
            </w:r>
          </w:p>
        </w:tc>
        <w:tc>
          <w:tcPr>
            <w:tcW w:w="48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2017</w:t>
            </w:r>
          </w:p>
        </w:tc>
        <w:tc>
          <w:tcPr>
            <w:tcW w:w="48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2016</w:t>
            </w:r>
          </w:p>
        </w:tc>
        <w:tc>
          <w:tcPr>
            <w:tcW w:w="50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2015</w:t>
            </w:r>
          </w:p>
        </w:tc>
        <w:tc>
          <w:tcPr>
            <w:tcW w:w="48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2014</w:t>
            </w:r>
          </w:p>
        </w:tc>
        <w:tc>
          <w:tcPr>
            <w:tcW w:w="48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2013</w:t>
            </w:r>
          </w:p>
        </w:tc>
        <w:tc>
          <w:tcPr>
            <w:tcW w:w="500" w:type="dxa"/>
            <w:vAlign w:val="bottom"/>
            <w:gridSpan w:val="2"/>
            <w:shd w:val="clear" w:color="auto" w:fill="C43776"/>
          </w:tcPr>
          <w:p>
            <w:pPr>
              <w:jc w:val="right"/>
              <w:ind w:right="37"/>
              <w:spacing w:after="0"/>
              <w:rPr>
                <w:sz w:val="20"/>
                <w:szCs w:val="20"/>
                <w:color w:val="auto"/>
              </w:rPr>
            </w:pPr>
            <w:r>
              <w:rPr>
                <w:rFonts w:ascii="Arial" w:cs="Arial" w:eastAsia="Arial" w:hAnsi="Arial"/>
                <w:sz w:val="14"/>
                <w:szCs w:val="14"/>
                <w:b w:val="1"/>
                <w:bCs w:val="1"/>
                <w:color w:val="FFFFFF"/>
              </w:rPr>
              <w:t>2012</w:t>
            </w:r>
          </w:p>
        </w:tc>
        <w:tc>
          <w:tcPr>
            <w:tcW w:w="480" w:type="dxa"/>
            <w:vAlign w:val="bottom"/>
            <w:gridSpan w:val="2"/>
            <w:shd w:val="clear" w:color="auto" w:fill="C43776"/>
          </w:tcPr>
          <w:p>
            <w:pPr>
              <w:jc w:val="right"/>
              <w:ind w:right="57"/>
              <w:spacing w:after="0"/>
              <w:rPr>
                <w:sz w:val="20"/>
                <w:szCs w:val="20"/>
                <w:color w:val="auto"/>
              </w:rPr>
            </w:pPr>
            <w:r>
              <w:rPr>
                <w:rFonts w:ascii="Arial" w:cs="Arial" w:eastAsia="Arial" w:hAnsi="Arial"/>
                <w:sz w:val="14"/>
                <w:szCs w:val="14"/>
                <w:b w:val="1"/>
                <w:bCs w:val="1"/>
                <w:color w:val="FFFFFF"/>
              </w:rPr>
              <w:t>2011</w:t>
            </w:r>
          </w:p>
        </w:tc>
        <w:tc>
          <w:tcPr>
            <w:tcW w:w="560" w:type="dxa"/>
            <w:vAlign w:val="bottom"/>
            <w:gridSpan w:val="2"/>
            <w:shd w:val="clear" w:color="auto" w:fill="C43776"/>
          </w:tcPr>
          <w:p>
            <w:pPr>
              <w:jc w:val="right"/>
              <w:ind w:right="117"/>
              <w:spacing w:after="0"/>
              <w:rPr>
                <w:sz w:val="20"/>
                <w:szCs w:val="20"/>
                <w:color w:val="auto"/>
              </w:rPr>
            </w:pPr>
            <w:r>
              <w:rPr>
                <w:rFonts w:ascii="Arial" w:cs="Arial" w:eastAsia="Arial" w:hAnsi="Arial"/>
                <w:sz w:val="14"/>
                <w:szCs w:val="14"/>
                <w:b w:val="1"/>
                <w:bCs w:val="1"/>
                <w:color w:val="FFFFFF"/>
              </w:rPr>
              <w:t>2010</w:t>
            </w:r>
          </w:p>
        </w:tc>
        <w:tc>
          <w:tcPr>
            <w:tcW w:w="0" w:type="dxa"/>
            <w:vAlign w:val="bottom"/>
          </w:tcPr>
          <w:p>
            <w:pPr>
              <w:spacing w:after="0"/>
              <w:rPr>
                <w:sz w:val="1"/>
                <w:szCs w:val="1"/>
                <w:color w:val="auto"/>
              </w:rPr>
            </w:pPr>
          </w:p>
        </w:tc>
      </w:tr>
      <w:tr>
        <w:trPr>
          <w:trHeight w:val="389"/>
        </w:trPr>
        <w:tc>
          <w:tcPr>
            <w:tcW w:w="100" w:type="dxa"/>
            <w:vAlign w:val="bottom"/>
            <w:shd w:val="clear" w:color="auto" w:fill="C43776"/>
          </w:tcPr>
          <w:p>
            <w:pPr>
              <w:spacing w:after="0"/>
              <w:rPr>
                <w:sz w:val="24"/>
                <w:szCs w:val="24"/>
                <w:color w:val="auto"/>
              </w:rPr>
            </w:pPr>
          </w:p>
        </w:tc>
        <w:tc>
          <w:tcPr>
            <w:tcW w:w="1100" w:type="dxa"/>
            <w:vAlign w:val="bottom"/>
            <w:shd w:val="clear" w:color="auto" w:fill="C43776"/>
          </w:tcPr>
          <w:p>
            <w:pPr>
              <w:ind w:left="40"/>
              <w:spacing w:after="0"/>
              <w:rPr>
                <w:sz w:val="20"/>
                <w:szCs w:val="20"/>
                <w:color w:val="auto"/>
              </w:rPr>
            </w:pPr>
            <w:r>
              <w:rPr>
                <w:rFonts w:ascii="Arial" w:cs="Arial" w:eastAsia="Arial" w:hAnsi="Arial"/>
                <w:sz w:val="14"/>
                <w:szCs w:val="14"/>
                <w:b w:val="1"/>
                <w:bCs w:val="1"/>
                <w:color w:val="FFFFFF"/>
              </w:rPr>
              <w:t>Adjustments:</w:t>
            </w:r>
          </w:p>
        </w:tc>
        <w:tc>
          <w:tcPr>
            <w:tcW w:w="500" w:type="dxa"/>
            <w:vAlign w:val="bottom"/>
            <w:shd w:val="clear" w:color="auto" w:fill="C43776"/>
          </w:tcPr>
          <w:p>
            <w:pPr>
              <w:spacing w:after="0"/>
              <w:rPr>
                <w:sz w:val="24"/>
                <w:szCs w:val="24"/>
                <w:color w:val="auto"/>
              </w:rPr>
            </w:pPr>
          </w:p>
        </w:tc>
        <w:tc>
          <w:tcPr>
            <w:tcW w:w="500" w:type="dxa"/>
            <w:vAlign w:val="bottom"/>
            <w:shd w:val="clear" w:color="auto" w:fill="C43776"/>
          </w:tcPr>
          <w:p>
            <w:pPr>
              <w:spacing w:after="0"/>
              <w:rPr>
                <w:sz w:val="24"/>
                <w:szCs w:val="24"/>
                <w:color w:val="auto"/>
              </w:rPr>
            </w:pPr>
          </w:p>
        </w:tc>
        <w:tc>
          <w:tcPr>
            <w:tcW w:w="480" w:type="dxa"/>
            <w:vAlign w:val="bottom"/>
            <w:shd w:val="clear" w:color="auto" w:fill="C43776"/>
          </w:tcPr>
          <w:p>
            <w:pPr>
              <w:spacing w:after="0"/>
              <w:rPr>
                <w:sz w:val="24"/>
                <w:szCs w:val="24"/>
                <w:color w:val="auto"/>
              </w:rPr>
            </w:pPr>
          </w:p>
        </w:tc>
        <w:tc>
          <w:tcPr>
            <w:tcW w:w="480" w:type="dxa"/>
            <w:vAlign w:val="bottom"/>
            <w:shd w:val="clear" w:color="auto" w:fill="C43776"/>
          </w:tcPr>
          <w:p>
            <w:pPr>
              <w:spacing w:after="0"/>
              <w:rPr>
                <w:sz w:val="24"/>
                <w:szCs w:val="24"/>
                <w:color w:val="auto"/>
              </w:rPr>
            </w:pPr>
          </w:p>
        </w:tc>
        <w:tc>
          <w:tcPr>
            <w:tcW w:w="500" w:type="dxa"/>
            <w:vAlign w:val="bottom"/>
            <w:shd w:val="clear" w:color="auto" w:fill="C43776"/>
          </w:tcPr>
          <w:p>
            <w:pPr>
              <w:spacing w:after="0"/>
              <w:rPr>
                <w:sz w:val="24"/>
                <w:szCs w:val="24"/>
                <w:color w:val="auto"/>
              </w:rPr>
            </w:pPr>
          </w:p>
        </w:tc>
        <w:tc>
          <w:tcPr>
            <w:tcW w:w="100" w:type="dxa"/>
            <w:vAlign w:val="bottom"/>
            <w:shd w:val="clear" w:color="auto" w:fill="C43776"/>
          </w:tcPr>
          <w:p>
            <w:pPr>
              <w:spacing w:after="0"/>
              <w:rPr>
                <w:sz w:val="24"/>
                <w:szCs w:val="24"/>
                <w:color w:val="auto"/>
              </w:rPr>
            </w:pPr>
          </w:p>
        </w:tc>
        <w:tc>
          <w:tcPr>
            <w:tcW w:w="380" w:type="dxa"/>
            <w:vAlign w:val="bottom"/>
            <w:shd w:val="clear" w:color="auto" w:fill="C43776"/>
          </w:tcPr>
          <w:p>
            <w:pPr>
              <w:spacing w:after="0"/>
              <w:rPr>
                <w:sz w:val="24"/>
                <w:szCs w:val="24"/>
                <w:color w:val="auto"/>
              </w:rPr>
            </w:pPr>
          </w:p>
        </w:tc>
        <w:tc>
          <w:tcPr>
            <w:tcW w:w="480" w:type="dxa"/>
            <w:vAlign w:val="bottom"/>
            <w:shd w:val="clear" w:color="auto" w:fill="C43776"/>
          </w:tcPr>
          <w:p>
            <w:pPr>
              <w:spacing w:after="0"/>
              <w:rPr>
                <w:sz w:val="24"/>
                <w:szCs w:val="24"/>
                <w:color w:val="auto"/>
              </w:rPr>
            </w:pPr>
          </w:p>
        </w:tc>
        <w:tc>
          <w:tcPr>
            <w:tcW w:w="100" w:type="dxa"/>
            <w:vAlign w:val="bottom"/>
            <w:shd w:val="clear" w:color="auto" w:fill="C43776"/>
          </w:tcPr>
          <w:p>
            <w:pPr>
              <w:spacing w:after="0"/>
              <w:rPr>
                <w:sz w:val="24"/>
                <w:szCs w:val="24"/>
                <w:color w:val="auto"/>
              </w:rPr>
            </w:pPr>
          </w:p>
        </w:tc>
        <w:tc>
          <w:tcPr>
            <w:tcW w:w="400" w:type="dxa"/>
            <w:vAlign w:val="bottom"/>
            <w:shd w:val="clear" w:color="auto" w:fill="C43776"/>
          </w:tcPr>
          <w:p>
            <w:pPr>
              <w:spacing w:after="0"/>
              <w:rPr>
                <w:sz w:val="24"/>
                <w:szCs w:val="24"/>
                <w:color w:val="auto"/>
              </w:rPr>
            </w:pPr>
          </w:p>
        </w:tc>
        <w:tc>
          <w:tcPr>
            <w:tcW w:w="120" w:type="dxa"/>
            <w:vAlign w:val="bottom"/>
            <w:shd w:val="clear" w:color="auto" w:fill="C43776"/>
          </w:tcPr>
          <w:p>
            <w:pPr>
              <w:spacing w:after="0"/>
              <w:rPr>
                <w:sz w:val="24"/>
                <w:szCs w:val="24"/>
                <w:color w:val="auto"/>
              </w:rPr>
            </w:pPr>
          </w:p>
        </w:tc>
        <w:tc>
          <w:tcPr>
            <w:tcW w:w="360" w:type="dxa"/>
            <w:vAlign w:val="bottom"/>
            <w:shd w:val="clear" w:color="auto" w:fill="C43776"/>
          </w:tcPr>
          <w:p>
            <w:pPr>
              <w:spacing w:after="0"/>
              <w:rPr>
                <w:sz w:val="24"/>
                <w:szCs w:val="24"/>
                <w:color w:val="auto"/>
              </w:rPr>
            </w:pPr>
          </w:p>
        </w:tc>
        <w:tc>
          <w:tcPr>
            <w:tcW w:w="140" w:type="dxa"/>
            <w:vAlign w:val="bottom"/>
            <w:shd w:val="clear" w:color="auto" w:fill="C43776"/>
          </w:tcPr>
          <w:p>
            <w:pPr>
              <w:spacing w:after="0"/>
              <w:rPr>
                <w:sz w:val="24"/>
                <w:szCs w:val="24"/>
                <w:color w:val="auto"/>
              </w:rPr>
            </w:pPr>
          </w:p>
        </w:tc>
        <w:tc>
          <w:tcPr>
            <w:tcW w:w="340" w:type="dxa"/>
            <w:vAlign w:val="bottom"/>
            <w:shd w:val="clear" w:color="auto" w:fill="C43776"/>
          </w:tcPr>
          <w:p>
            <w:pPr>
              <w:spacing w:after="0"/>
              <w:rPr>
                <w:sz w:val="24"/>
                <w:szCs w:val="24"/>
                <w:color w:val="auto"/>
              </w:rPr>
            </w:pPr>
          </w:p>
        </w:tc>
        <w:tc>
          <w:tcPr>
            <w:tcW w:w="140" w:type="dxa"/>
            <w:vAlign w:val="bottom"/>
            <w:shd w:val="clear" w:color="auto" w:fill="C43776"/>
          </w:tcPr>
          <w:p>
            <w:pPr>
              <w:spacing w:after="0"/>
              <w:rPr>
                <w:sz w:val="24"/>
                <w:szCs w:val="24"/>
                <w:color w:val="auto"/>
              </w:rPr>
            </w:pPr>
          </w:p>
        </w:tc>
        <w:tc>
          <w:tcPr>
            <w:tcW w:w="360" w:type="dxa"/>
            <w:vAlign w:val="bottom"/>
            <w:shd w:val="clear" w:color="auto" w:fill="C43776"/>
          </w:tcPr>
          <w:p>
            <w:pPr>
              <w:spacing w:after="0"/>
              <w:rPr>
                <w:sz w:val="24"/>
                <w:szCs w:val="24"/>
                <w:color w:val="auto"/>
              </w:rPr>
            </w:pPr>
          </w:p>
        </w:tc>
        <w:tc>
          <w:tcPr>
            <w:tcW w:w="120" w:type="dxa"/>
            <w:vAlign w:val="bottom"/>
            <w:shd w:val="clear" w:color="auto" w:fill="C43776"/>
          </w:tcPr>
          <w:p>
            <w:pPr>
              <w:spacing w:after="0"/>
              <w:rPr>
                <w:sz w:val="24"/>
                <w:szCs w:val="24"/>
                <w:color w:val="auto"/>
              </w:rPr>
            </w:pPr>
          </w:p>
        </w:tc>
        <w:tc>
          <w:tcPr>
            <w:tcW w:w="360" w:type="dxa"/>
            <w:vAlign w:val="bottom"/>
            <w:shd w:val="clear" w:color="auto" w:fill="C43776"/>
          </w:tcPr>
          <w:p>
            <w:pPr>
              <w:spacing w:after="0"/>
              <w:rPr>
                <w:sz w:val="24"/>
                <w:szCs w:val="24"/>
                <w:color w:val="auto"/>
              </w:rPr>
            </w:pPr>
          </w:p>
        </w:tc>
        <w:tc>
          <w:tcPr>
            <w:tcW w:w="140" w:type="dxa"/>
            <w:vAlign w:val="bottom"/>
            <w:shd w:val="clear" w:color="auto" w:fill="C43776"/>
          </w:tcPr>
          <w:p>
            <w:pPr>
              <w:spacing w:after="0"/>
              <w:rPr>
                <w:sz w:val="24"/>
                <w:szCs w:val="24"/>
                <w:color w:val="auto"/>
              </w:rPr>
            </w:pPr>
          </w:p>
        </w:tc>
        <w:tc>
          <w:tcPr>
            <w:tcW w:w="340" w:type="dxa"/>
            <w:vAlign w:val="bottom"/>
            <w:shd w:val="clear" w:color="auto" w:fill="C43776"/>
          </w:tcPr>
          <w:p>
            <w:pPr>
              <w:spacing w:after="0"/>
              <w:rPr>
                <w:sz w:val="24"/>
                <w:szCs w:val="24"/>
                <w:color w:val="auto"/>
              </w:rPr>
            </w:pPr>
          </w:p>
        </w:tc>
        <w:tc>
          <w:tcPr>
            <w:tcW w:w="140" w:type="dxa"/>
            <w:vAlign w:val="bottom"/>
            <w:shd w:val="clear" w:color="auto" w:fill="C43776"/>
          </w:tcPr>
          <w:p>
            <w:pPr>
              <w:spacing w:after="0"/>
              <w:rPr>
                <w:sz w:val="24"/>
                <w:szCs w:val="24"/>
                <w:color w:val="auto"/>
              </w:rPr>
            </w:pPr>
          </w:p>
        </w:tc>
        <w:tc>
          <w:tcPr>
            <w:tcW w:w="360" w:type="dxa"/>
            <w:vAlign w:val="bottom"/>
            <w:shd w:val="clear" w:color="auto" w:fill="C43776"/>
          </w:tcPr>
          <w:p>
            <w:pPr>
              <w:spacing w:after="0"/>
              <w:rPr>
                <w:sz w:val="24"/>
                <w:szCs w:val="24"/>
                <w:color w:val="auto"/>
              </w:rPr>
            </w:pPr>
          </w:p>
        </w:tc>
        <w:tc>
          <w:tcPr>
            <w:tcW w:w="120" w:type="dxa"/>
            <w:vAlign w:val="bottom"/>
            <w:shd w:val="clear" w:color="auto" w:fill="C43776"/>
          </w:tcPr>
          <w:p>
            <w:pPr>
              <w:spacing w:after="0"/>
              <w:rPr>
                <w:sz w:val="24"/>
                <w:szCs w:val="24"/>
                <w:color w:val="auto"/>
              </w:rPr>
            </w:pPr>
          </w:p>
        </w:tc>
        <w:tc>
          <w:tcPr>
            <w:tcW w:w="360" w:type="dxa"/>
            <w:vAlign w:val="bottom"/>
            <w:shd w:val="clear" w:color="auto" w:fill="C43776"/>
          </w:tcPr>
          <w:p>
            <w:pPr>
              <w:spacing w:after="0"/>
              <w:rPr>
                <w:sz w:val="24"/>
                <w:szCs w:val="24"/>
                <w:color w:val="auto"/>
              </w:rPr>
            </w:pPr>
          </w:p>
        </w:tc>
        <w:tc>
          <w:tcPr>
            <w:tcW w:w="140" w:type="dxa"/>
            <w:vAlign w:val="bottom"/>
            <w:shd w:val="clear" w:color="auto" w:fill="C43776"/>
          </w:tcPr>
          <w:p>
            <w:pPr>
              <w:spacing w:after="0"/>
              <w:rPr>
                <w:sz w:val="24"/>
                <w:szCs w:val="24"/>
                <w:color w:val="auto"/>
              </w:rPr>
            </w:pPr>
          </w:p>
        </w:tc>
        <w:tc>
          <w:tcPr>
            <w:tcW w:w="420" w:type="dxa"/>
            <w:vAlign w:val="bottom"/>
            <w:shd w:val="clear" w:color="auto" w:fill="C43776"/>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100" w:type="dxa"/>
            <w:vAlign w:val="bottom"/>
            <w:shd w:val="clear" w:color="auto" w:fill="C43776"/>
          </w:tcPr>
          <w:p>
            <w:pPr>
              <w:spacing w:after="0"/>
              <w:rPr>
                <w:sz w:val="6"/>
                <w:szCs w:val="6"/>
                <w:color w:val="auto"/>
              </w:rPr>
            </w:pPr>
          </w:p>
        </w:tc>
        <w:tc>
          <w:tcPr>
            <w:tcW w:w="1100" w:type="dxa"/>
            <w:vAlign w:val="bottom"/>
            <w:shd w:val="clear" w:color="auto" w:fill="C43776"/>
          </w:tcPr>
          <w:p>
            <w:pPr>
              <w:spacing w:after="0"/>
              <w:rPr>
                <w:sz w:val="6"/>
                <w:szCs w:val="6"/>
                <w:color w:val="auto"/>
              </w:rPr>
            </w:pPr>
          </w:p>
        </w:tc>
        <w:tc>
          <w:tcPr>
            <w:tcW w:w="500" w:type="dxa"/>
            <w:vAlign w:val="bottom"/>
            <w:shd w:val="clear" w:color="auto" w:fill="C43776"/>
          </w:tcPr>
          <w:p>
            <w:pPr>
              <w:spacing w:after="0"/>
              <w:rPr>
                <w:sz w:val="6"/>
                <w:szCs w:val="6"/>
                <w:color w:val="auto"/>
              </w:rPr>
            </w:pPr>
          </w:p>
        </w:tc>
        <w:tc>
          <w:tcPr>
            <w:tcW w:w="500" w:type="dxa"/>
            <w:vAlign w:val="bottom"/>
            <w:shd w:val="clear" w:color="auto" w:fill="C43776"/>
          </w:tcPr>
          <w:p>
            <w:pPr>
              <w:spacing w:after="0"/>
              <w:rPr>
                <w:sz w:val="6"/>
                <w:szCs w:val="6"/>
                <w:color w:val="auto"/>
              </w:rPr>
            </w:pPr>
          </w:p>
        </w:tc>
        <w:tc>
          <w:tcPr>
            <w:tcW w:w="480" w:type="dxa"/>
            <w:vAlign w:val="bottom"/>
            <w:shd w:val="clear" w:color="auto" w:fill="C43776"/>
          </w:tcPr>
          <w:p>
            <w:pPr>
              <w:spacing w:after="0"/>
              <w:rPr>
                <w:sz w:val="6"/>
                <w:szCs w:val="6"/>
                <w:color w:val="auto"/>
              </w:rPr>
            </w:pPr>
          </w:p>
        </w:tc>
        <w:tc>
          <w:tcPr>
            <w:tcW w:w="480" w:type="dxa"/>
            <w:vAlign w:val="bottom"/>
            <w:shd w:val="clear" w:color="auto" w:fill="C43776"/>
          </w:tcPr>
          <w:p>
            <w:pPr>
              <w:spacing w:after="0"/>
              <w:rPr>
                <w:sz w:val="6"/>
                <w:szCs w:val="6"/>
                <w:color w:val="auto"/>
              </w:rPr>
            </w:pPr>
          </w:p>
        </w:tc>
        <w:tc>
          <w:tcPr>
            <w:tcW w:w="500" w:type="dxa"/>
            <w:vAlign w:val="bottom"/>
            <w:shd w:val="clear" w:color="auto" w:fill="C43776"/>
          </w:tcPr>
          <w:p>
            <w:pPr>
              <w:spacing w:after="0"/>
              <w:rPr>
                <w:sz w:val="6"/>
                <w:szCs w:val="6"/>
                <w:color w:val="auto"/>
              </w:rPr>
            </w:pPr>
          </w:p>
        </w:tc>
        <w:tc>
          <w:tcPr>
            <w:tcW w:w="100" w:type="dxa"/>
            <w:vAlign w:val="bottom"/>
            <w:shd w:val="clear" w:color="auto" w:fill="C43776"/>
          </w:tcPr>
          <w:p>
            <w:pPr>
              <w:spacing w:after="0"/>
              <w:rPr>
                <w:sz w:val="6"/>
                <w:szCs w:val="6"/>
                <w:color w:val="auto"/>
              </w:rPr>
            </w:pPr>
          </w:p>
        </w:tc>
        <w:tc>
          <w:tcPr>
            <w:tcW w:w="380" w:type="dxa"/>
            <w:vAlign w:val="bottom"/>
            <w:shd w:val="clear" w:color="auto" w:fill="C43776"/>
          </w:tcPr>
          <w:p>
            <w:pPr>
              <w:spacing w:after="0"/>
              <w:rPr>
                <w:sz w:val="6"/>
                <w:szCs w:val="6"/>
                <w:color w:val="auto"/>
              </w:rPr>
            </w:pPr>
          </w:p>
        </w:tc>
        <w:tc>
          <w:tcPr>
            <w:tcW w:w="480" w:type="dxa"/>
            <w:vAlign w:val="bottom"/>
            <w:shd w:val="clear" w:color="auto" w:fill="C43776"/>
          </w:tcPr>
          <w:p>
            <w:pPr>
              <w:spacing w:after="0"/>
              <w:rPr>
                <w:sz w:val="6"/>
                <w:szCs w:val="6"/>
                <w:color w:val="auto"/>
              </w:rPr>
            </w:pPr>
          </w:p>
        </w:tc>
        <w:tc>
          <w:tcPr>
            <w:tcW w:w="100" w:type="dxa"/>
            <w:vAlign w:val="bottom"/>
            <w:shd w:val="clear" w:color="auto" w:fill="C43776"/>
          </w:tcPr>
          <w:p>
            <w:pPr>
              <w:spacing w:after="0"/>
              <w:rPr>
                <w:sz w:val="6"/>
                <w:szCs w:val="6"/>
                <w:color w:val="auto"/>
              </w:rPr>
            </w:pPr>
          </w:p>
        </w:tc>
        <w:tc>
          <w:tcPr>
            <w:tcW w:w="400" w:type="dxa"/>
            <w:vAlign w:val="bottom"/>
            <w:shd w:val="clear" w:color="auto" w:fill="C43776"/>
          </w:tcPr>
          <w:p>
            <w:pPr>
              <w:spacing w:after="0"/>
              <w:rPr>
                <w:sz w:val="6"/>
                <w:szCs w:val="6"/>
                <w:color w:val="auto"/>
              </w:rPr>
            </w:pPr>
          </w:p>
        </w:tc>
        <w:tc>
          <w:tcPr>
            <w:tcW w:w="120" w:type="dxa"/>
            <w:vAlign w:val="bottom"/>
            <w:shd w:val="clear" w:color="auto" w:fill="C43776"/>
          </w:tcPr>
          <w:p>
            <w:pPr>
              <w:spacing w:after="0"/>
              <w:rPr>
                <w:sz w:val="6"/>
                <w:szCs w:val="6"/>
                <w:color w:val="auto"/>
              </w:rPr>
            </w:pPr>
          </w:p>
        </w:tc>
        <w:tc>
          <w:tcPr>
            <w:tcW w:w="360" w:type="dxa"/>
            <w:vAlign w:val="bottom"/>
            <w:shd w:val="clear" w:color="auto" w:fill="C43776"/>
          </w:tcPr>
          <w:p>
            <w:pPr>
              <w:spacing w:after="0"/>
              <w:rPr>
                <w:sz w:val="6"/>
                <w:szCs w:val="6"/>
                <w:color w:val="auto"/>
              </w:rPr>
            </w:pPr>
          </w:p>
        </w:tc>
        <w:tc>
          <w:tcPr>
            <w:tcW w:w="140" w:type="dxa"/>
            <w:vAlign w:val="bottom"/>
            <w:shd w:val="clear" w:color="auto" w:fill="C43776"/>
          </w:tcPr>
          <w:p>
            <w:pPr>
              <w:spacing w:after="0"/>
              <w:rPr>
                <w:sz w:val="6"/>
                <w:szCs w:val="6"/>
                <w:color w:val="auto"/>
              </w:rPr>
            </w:pPr>
          </w:p>
        </w:tc>
        <w:tc>
          <w:tcPr>
            <w:tcW w:w="340" w:type="dxa"/>
            <w:vAlign w:val="bottom"/>
            <w:shd w:val="clear" w:color="auto" w:fill="C43776"/>
          </w:tcPr>
          <w:p>
            <w:pPr>
              <w:spacing w:after="0"/>
              <w:rPr>
                <w:sz w:val="6"/>
                <w:szCs w:val="6"/>
                <w:color w:val="auto"/>
              </w:rPr>
            </w:pPr>
          </w:p>
        </w:tc>
        <w:tc>
          <w:tcPr>
            <w:tcW w:w="140" w:type="dxa"/>
            <w:vAlign w:val="bottom"/>
            <w:shd w:val="clear" w:color="auto" w:fill="C43776"/>
          </w:tcPr>
          <w:p>
            <w:pPr>
              <w:spacing w:after="0"/>
              <w:rPr>
                <w:sz w:val="6"/>
                <w:szCs w:val="6"/>
                <w:color w:val="auto"/>
              </w:rPr>
            </w:pPr>
          </w:p>
        </w:tc>
        <w:tc>
          <w:tcPr>
            <w:tcW w:w="360" w:type="dxa"/>
            <w:vAlign w:val="bottom"/>
            <w:shd w:val="clear" w:color="auto" w:fill="C43776"/>
          </w:tcPr>
          <w:p>
            <w:pPr>
              <w:spacing w:after="0"/>
              <w:rPr>
                <w:sz w:val="6"/>
                <w:szCs w:val="6"/>
                <w:color w:val="auto"/>
              </w:rPr>
            </w:pPr>
          </w:p>
        </w:tc>
        <w:tc>
          <w:tcPr>
            <w:tcW w:w="120" w:type="dxa"/>
            <w:vAlign w:val="bottom"/>
            <w:shd w:val="clear" w:color="auto" w:fill="C43776"/>
          </w:tcPr>
          <w:p>
            <w:pPr>
              <w:spacing w:after="0"/>
              <w:rPr>
                <w:sz w:val="6"/>
                <w:szCs w:val="6"/>
                <w:color w:val="auto"/>
              </w:rPr>
            </w:pPr>
          </w:p>
        </w:tc>
        <w:tc>
          <w:tcPr>
            <w:tcW w:w="360" w:type="dxa"/>
            <w:vAlign w:val="bottom"/>
            <w:shd w:val="clear" w:color="auto" w:fill="C43776"/>
          </w:tcPr>
          <w:p>
            <w:pPr>
              <w:spacing w:after="0"/>
              <w:rPr>
                <w:sz w:val="6"/>
                <w:szCs w:val="6"/>
                <w:color w:val="auto"/>
              </w:rPr>
            </w:pPr>
          </w:p>
        </w:tc>
        <w:tc>
          <w:tcPr>
            <w:tcW w:w="140" w:type="dxa"/>
            <w:vAlign w:val="bottom"/>
            <w:shd w:val="clear" w:color="auto" w:fill="C43776"/>
          </w:tcPr>
          <w:p>
            <w:pPr>
              <w:spacing w:after="0"/>
              <w:rPr>
                <w:sz w:val="6"/>
                <w:szCs w:val="6"/>
                <w:color w:val="auto"/>
              </w:rPr>
            </w:pPr>
          </w:p>
        </w:tc>
        <w:tc>
          <w:tcPr>
            <w:tcW w:w="340" w:type="dxa"/>
            <w:vAlign w:val="bottom"/>
            <w:shd w:val="clear" w:color="auto" w:fill="C43776"/>
          </w:tcPr>
          <w:p>
            <w:pPr>
              <w:spacing w:after="0"/>
              <w:rPr>
                <w:sz w:val="6"/>
                <w:szCs w:val="6"/>
                <w:color w:val="auto"/>
              </w:rPr>
            </w:pPr>
          </w:p>
        </w:tc>
        <w:tc>
          <w:tcPr>
            <w:tcW w:w="140" w:type="dxa"/>
            <w:vAlign w:val="bottom"/>
            <w:shd w:val="clear" w:color="auto" w:fill="C43776"/>
          </w:tcPr>
          <w:p>
            <w:pPr>
              <w:spacing w:after="0"/>
              <w:rPr>
                <w:sz w:val="6"/>
                <w:szCs w:val="6"/>
                <w:color w:val="auto"/>
              </w:rPr>
            </w:pPr>
          </w:p>
        </w:tc>
        <w:tc>
          <w:tcPr>
            <w:tcW w:w="360" w:type="dxa"/>
            <w:vAlign w:val="bottom"/>
            <w:shd w:val="clear" w:color="auto" w:fill="C43776"/>
          </w:tcPr>
          <w:p>
            <w:pPr>
              <w:spacing w:after="0"/>
              <w:rPr>
                <w:sz w:val="6"/>
                <w:szCs w:val="6"/>
                <w:color w:val="auto"/>
              </w:rPr>
            </w:pPr>
          </w:p>
        </w:tc>
        <w:tc>
          <w:tcPr>
            <w:tcW w:w="120" w:type="dxa"/>
            <w:vAlign w:val="bottom"/>
            <w:shd w:val="clear" w:color="auto" w:fill="C43776"/>
          </w:tcPr>
          <w:p>
            <w:pPr>
              <w:spacing w:after="0"/>
              <w:rPr>
                <w:sz w:val="6"/>
                <w:szCs w:val="6"/>
                <w:color w:val="auto"/>
              </w:rPr>
            </w:pPr>
          </w:p>
        </w:tc>
        <w:tc>
          <w:tcPr>
            <w:tcW w:w="360" w:type="dxa"/>
            <w:vAlign w:val="bottom"/>
            <w:shd w:val="clear" w:color="auto" w:fill="C43776"/>
          </w:tcPr>
          <w:p>
            <w:pPr>
              <w:spacing w:after="0"/>
              <w:rPr>
                <w:sz w:val="6"/>
                <w:szCs w:val="6"/>
                <w:color w:val="auto"/>
              </w:rPr>
            </w:pPr>
          </w:p>
        </w:tc>
        <w:tc>
          <w:tcPr>
            <w:tcW w:w="140" w:type="dxa"/>
            <w:vAlign w:val="bottom"/>
            <w:shd w:val="clear" w:color="auto" w:fill="C43776"/>
          </w:tcPr>
          <w:p>
            <w:pPr>
              <w:spacing w:after="0"/>
              <w:rPr>
                <w:sz w:val="6"/>
                <w:szCs w:val="6"/>
                <w:color w:val="auto"/>
              </w:rPr>
            </w:pPr>
          </w:p>
        </w:tc>
        <w:tc>
          <w:tcPr>
            <w:tcW w:w="420" w:type="dxa"/>
            <w:vAlign w:val="bottom"/>
            <w:shd w:val="clear" w:color="auto" w:fill="C43776"/>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Arial" w:cs="Arial" w:eastAsia="Arial" w:hAnsi="Arial"/>
                <w:sz w:val="13"/>
                <w:szCs w:val="13"/>
                <w:color w:val="auto"/>
              </w:rPr>
              <w:t>Stock-based</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100" w:type="dxa"/>
            <w:vAlign w:val="bottom"/>
          </w:tcPr>
          <w:p>
            <w:pPr>
              <w:ind w:left="140"/>
              <w:spacing w:after="0"/>
              <w:rPr>
                <w:sz w:val="20"/>
                <w:szCs w:val="20"/>
                <w:color w:val="auto"/>
              </w:rPr>
            </w:pPr>
            <w:r>
              <w:rPr>
                <w:rFonts w:ascii="Arial" w:cs="Arial" w:eastAsia="Arial" w:hAnsi="Arial"/>
                <w:sz w:val="13"/>
                <w:szCs w:val="13"/>
                <w:color w:val="auto"/>
              </w:rPr>
              <w:t>compensation</w:t>
            </w:r>
          </w:p>
        </w:tc>
        <w:tc>
          <w:tcPr>
            <w:tcW w:w="500" w:type="dxa"/>
            <w:vAlign w:val="bottom"/>
          </w:tcPr>
          <w:p>
            <w:pPr>
              <w:jc w:val="right"/>
              <w:spacing w:after="0"/>
              <w:rPr>
                <w:sz w:val="20"/>
                <w:szCs w:val="20"/>
                <w:color w:val="auto"/>
              </w:rPr>
            </w:pPr>
            <w:r>
              <w:rPr>
                <w:rFonts w:ascii="Arial" w:cs="Arial" w:eastAsia="Arial" w:hAnsi="Arial"/>
                <w:sz w:val="13"/>
                <w:szCs w:val="13"/>
                <w:color w:val="auto"/>
              </w:rPr>
              <w:t>103</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117</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116</w:t>
            </w:r>
          </w:p>
        </w:tc>
        <w:tc>
          <w:tcPr>
            <w:tcW w:w="480" w:type="dxa"/>
            <w:vAlign w:val="bottom"/>
          </w:tcPr>
          <w:p>
            <w:pPr>
              <w:jc w:val="right"/>
              <w:spacing w:after="0"/>
              <w:rPr>
                <w:sz w:val="20"/>
                <w:szCs w:val="20"/>
                <w:color w:val="auto"/>
              </w:rPr>
            </w:pPr>
            <w:r>
              <w:rPr>
                <w:rFonts w:ascii="Arial" w:cs="Arial" w:eastAsia="Arial" w:hAnsi="Arial"/>
                <w:sz w:val="13"/>
                <w:szCs w:val="13"/>
                <w:color w:val="auto"/>
              </w:rPr>
              <w:t>121</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43</w:t>
            </w:r>
          </w:p>
        </w:tc>
        <w:tc>
          <w:tcPr>
            <w:tcW w:w="48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2"/>
                <w:szCs w:val="12"/>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64</w:t>
            </w:r>
          </w:p>
        </w:tc>
        <w:tc>
          <w:tcPr>
            <w:tcW w:w="14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38</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2"/>
                <w:szCs w:val="12"/>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Arial" w:cs="Arial" w:eastAsia="Arial" w:hAnsi="Arial"/>
                <w:sz w:val="13"/>
                <w:szCs w:val="13"/>
                <w:color w:val="auto"/>
              </w:rPr>
              <w:t>expense</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00" w:type="dxa"/>
            <w:vAlign w:val="bottom"/>
            <w:shd w:val="clear" w:color="auto" w:fill="F1F2F2"/>
          </w:tcPr>
          <w:p>
            <w:pPr>
              <w:spacing w:after="0"/>
              <w:rPr>
                <w:sz w:val="23"/>
                <w:szCs w:val="23"/>
                <w:color w:val="auto"/>
              </w:rPr>
            </w:pPr>
          </w:p>
        </w:tc>
        <w:tc>
          <w:tcPr>
            <w:tcW w:w="1100" w:type="dxa"/>
            <w:vAlign w:val="bottom"/>
            <w:shd w:val="clear" w:color="auto" w:fill="F1F2F2"/>
          </w:tcPr>
          <w:p>
            <w:pPr>
              <w:ind w:left="140"/>
              <w:spacing w:after="0"/>
              <w:rPr>
                <w:sz w:val="20"/>
                <w:szCs w:val="20"/>
                <w:color w:val="auto"/>
              </w:rPr>
            </w:pPr>
            <w:r>
              <w:rPr>
                <w:rFonts w:ascii="Arial" w:cs="Arial" w:eastAsia="Arial" w:hAnsi="Arial"/>
                <w:sz w:val="13"/>
                <w:szCs w:val="13"/>
                <w:color w:val="auto"/>
              </w:rPr>
              <w:t>Amortization</w:t>
            </w:r>
            <w:r>
              <w:rPr>
                <w:rFonts w:ascii="Arial" w:cs="Arial" w:eastAsia="Arial" w:hAnsi="Arial"/>
                <w:sz w:val="16"/>
                <w:szCs w:val="16"/>
                <w:color w:val="auto"/>
                <w:vertAlign w:val="superscript"/>
              </w:rPr>
              <w:t>(6)</w:t>
            </w:r>
          </w:p>
        </w:tc>
        <w:tc>
          <w:tcPr>
            <w:tcW w:w="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283</w:t>
            </w:r>
          </w:p>
        </w:tc>
        <w:tc>
          <w:tcPr>
            <w:tcW w:w="50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rPr>
              <w:t>239</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234</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238</w:t>
            </w:r>
          </w:p>
        </w:tc>
        <w:tc>
          <w:tcPr>
            <w:tcW w:w="50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F1F2F2"/>
          </w:tcPr>
          <w:p>
            <w:pPr>
              <w:spacing w:after="0"/>
              <w:rPr>
                <w:sz w:val="23"/>
                <w:szCs w:val="23"/>
                <w:color w:val="auto"/>
              </w:rPr>
            </w:pPr>
          </w:p>
        </w:tc>
        <w:tc>
          <w:tcPr>
            <w:tcW w:w="3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196</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F1F2F2"/>
          </w:tcPr>
          <w:p>
            <w:pPr>
              <w:spacing w:after="0"/>
              <w:rPr>
                <w:sz w:val="23"/>
                <w:szCs w:val="23"/>
                <w:color w:val="auto"/>
              </w:rPr>
            </w:pPr>
          </w:p>
        </w:tc>
        <w:tc>
          <w:tcPr>
            <w:tcW w:w="40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F1F2F2"/>
          </w:tcPr>
          <w:p>
            <w:pPr>
              <w:spacing w:after="0"/>
              <w:rPr>
                <w:sz w:val="23"/>
                <w:szCs w:val="23"/>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233</w:t>
            </w:r>
          </w:p>
        </w:tc>
        <w:tc>
          <w:tcPr>
            <w:tcW w:w="140" w:type="dxa"/>
            <w:vAlign w:val="bottom"/>
            <w:shd w:val="clear" w:color="auto" w:fill="F1F2F2"/>
          </w:tcPr>
          <w:p>
            <w:pPr>
              <w:spacing w:after="0"/>
              <w:rPr>
                <w:sz w:val="23"/>
                <w:szCs w:val="23"/>
                <w:color w:val="auto"/>
              </w:rPr>
            </w:pP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184</w:t>
            </w:r>
          </w:p>
        </w:tc>
        <w:tc>
          <w:tcPr>
            <w:tcW w:w="140" w:type="dxa"/>
            <w:vAlign w:val="bottom"/>
            <w:shd w:val="clear" w:color="auto" w:fill="F1F2F2"/>
          </w:tcPr>
          <w:p>
            <w:pPr>
              <w:spacing w:after="0"/>
              <w:rPr>
                <w:sz w:val="23"/>
                <w:szCs w:val="23"/>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F1F2F2"/>
          </w:tcPr>
          <w:p>
            <w:pPr>
              <w:spacing w:after="0"/>
              <w:rPr>
                <w:sz w:val="23"/>
                <w:szCs w:val="23"/>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F1F2F2"/>
          </w:tcPr>
          <w:p>
            <w:pPr>
              <w:spacing w:after="0"/>
              <w:rPr>
                <w:sz w:val="23"/>
                <w:szCs w:val="23"/>
                <w:color w:val="auto"/>
              </w:rPr>
            </w:pP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56</w:t>
            </w:r>
          </w:p>
        </w:tc>
        <w:tc>
          <w:tcPr>
            <w:tcW w:w="140" w:type="dxa"/>
            <w:vAlign w:val="bottom"/>
            <w:shd w:val="clear" w:color="auto" w:fill="F1F2F2"/>
          </w:tcPr>
          <w:p>
            <w:pPr>
              <w:spacing w:after="0"/>
              <w:rPr>
                <w:sz w:val="23"/>
                <w:szCs w:val="23"/>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F1F2F2"/>
          </w:tcPr>
          <w:p>
            <w:pPr>
              <w:spacing w:after="0"/>
              <w:rPr>
                <w:sz w:val="23"/>
                <w:szCs w:val="23"/>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25</w:t>
            </w:r>
          </w:p>
        </w:tc>
        <w:tc>
          <w:tcPr>
            <w:tcW w:w="140" w:type="dxa"/>
            <w:vAlign w:val="bottom"/>
            <w:shd w:val="clear" w:color="auto" w:fill="F1F2F2"/>
          </w:tcPr>
          <w:p>
            <w:pPr>
              <w:spacing w:after="0"/>
              <w:rPr>
                <w:sz w:val="23"/>
                <w:szCs w:val="23"/>
                <w:color w:val="auto"/>
              </w:rPr>
            </w:pPr>
          </w:p>
        </w:tc>
        <w:tc>
          <w:tcPr>
            <w:tcW w:w="420" w:type="dxa"/>
            <w:vAlign w:val="bottom"/>
            <w:shd w:val="clear" w:color="auto" w:fill="F1F2F2"/>
          </w:tcPr>
          <w:p>
            <w:pPr>
              <w:jc w:val="right"/>
              <w:ind w:right="7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Gain on</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(121)</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3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(109)</w:t>
            </w:r>
          </w:p>
        </w:tc>
        <w:tc>
          <w:tcPr>
            <w:tcW w:w="14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100" w:type="dxa"/>
            <w:vAlign w:val="bottom"/>
            <w:vMerge w:val="restart"/>
          </w:tcPr>
          <w:p>
            <w:pPr>
              <w:ind w:left="160"/>
              <w:spacing w:after="0"/>
              <w:rPr>
                <w:sz w:val="20"/>
                <w:szCs w:val="20"/>
                <w:color w:val="auto"/>
              </w:rPr>
            </w:pPr>
            <w:r>
              <w:rPr>
                <w:rFonts w:ascii="Arial" w:cs="Arial" w:eastAsia="Arial" w:hAnsi="Arial"/>
                <w:sz w:val="13"/>
                <w:szCs w:val="13"/>
                <w:color w:val="auto"/>
              </w:rPr>
              <w:t>disposition, net</w:t>
            </w:r>
          </w:p>
        </w:tc>
        <w:tc>
          <w:tcPr>
            <w:tcW w:w="5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00" w:type="dxa"/>
            <w:vAlign w:val="bottom"/>
            <w:shd w:val="clear" w:color="auto" w:fill="F1F2F2"/>
          </w:tcPr>
          <w:p>
            <w:pPr>
              <w:spacing w:after="0"/>
              <w:rPr>
                <w:sz w:val="18"/>
                <w:szCs w:val="18"/>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Integration and</w:t>
            </w:r>
          </w:p>
        </w:tc>
        <w:tc>
          <w:tcPr>
            <w:tcW w:w="500" w:type="dxa"/>
            <w:vAlign w:val="bottom"/>
            <w:shd w:val="clear" w:color="auto" w:fill="F1F2F2"/>
          </w:tcPr>
          <w:p>
            <w:pPr>
              <w:spacing w:after="0"/>
              <w:rPr>
                <w:sz w:val="18"/>
                <w:szCs w:val="18"/>
                <w:color w:val="auto"/>
              </w:rPr>
            </w:pPr>
          </w:p>
        </w:tc>
        <w:tc>
          <w:tcPr>
            <w:tcW w:w="50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50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38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40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4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4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420" w:type="dxa"/>
            <w:vAlign w:val="bottom"/>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F1F2F2"/>
          </w:tcPr>
          <w:p>
            <w:pPr>
              <w:spacing w:after="0"/>
              <w:rPr>
                <w:sz w:val="12"/>
                <w:szCs w:val="12"/>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deal related</w:t>
            </w:r>
          </w:p>
        </w:tc>
        <w:tc>
          <w:tcPr>
            <w:tcW w:w="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108</w:t>
            </w:r>
          </w:p>
        </w:tc>
        <w:tc>
          <w:tcPr>
            <w:tcW w:w="50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rPr>
              <w:t>34</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31</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19</w:t>
            </w:r>
          </w:p>
        </w:tc>
        <w:tc>
          <w:tcPr>
            <w:tcW w:w="50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rPr>
              <w:t>31</w:t>
            </w:r>
          </w:p>
        </w:tc>
        <w:tc>
          <w:tcPr>
            <w:tcW w:w="100" w:type="dxa"/>
            <w:vAlign w:val="bottom"/>
            <w:shd w:val="clear" w:color="auto" w:fill="F1F2F2"/>
          </w:tcPr>
          <w:p>
            <w:pPr>
              <w:spacing w:after="0"/>
              <w:rPr>
                <w:sz w:val="12"/>
                <w:szCs w:val="12"/>
                <w:color w:val="auto"/>
              </w:rPr>
            </w:pPr>
          </w:p>
        </w:tc>
        <w:tc>
          <w:tcPr>
            <w:tcW w:w="3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F1F2F2"/>
          </w:tcPr>
          <w:p>
            <w:pPr>
              <w:spacing w:after="0"/>
              <w:rPr>
                <w:sz w:val="12"/>
                <w:szCs w:val="12"/>
                <w:color w:val="auto"/>
              </w:rPr>
            </w:pPr>
          </w:p>
        </w:tc>
        <w:tc>
          <w:tcPr>
            <w:tcW w:w="40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42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100" w:type="dxa"/>
            <w:vAlign w:val="bottom"/>
            <w:shd w:val="clear" w:color="auto" w:fill="F1F2F2"/>
          </w:tcPr>
          <w:p>
            <w:pPr>
              <w:spacing w:after="0"/>
              <w:rPr>
                <w:sz w:val="19"/>
                <w:szCs w:val="19"/>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cost</w:t>
            </w:r>
            <w:r>
              <w:rPr>
                <w:rFonts w:ascii="Arial" w:cs="Arial" w:eastAsia="Arial" w:hAnsi="Arial"/>
                <w:sz w:val="16"/>
                <w:szCs w:val="16"/>
                <w:color w:val="auto"/>
                <w:vertAlign w:val="superscript"/>
              </w:rPr>
              <w:t>(1)</w:t>
            </w:r>
          </w:p>
        </w:tc>
        <w:tc>
          <w:tcPr>
            <w:tcW w:w="500" w:type="dxa"/>
            <w:vAlign w:val="bottom"/>
            <w:shd w:val="clear" w:color="auto" w:fill="F1F2F2"/>
          </w:tcPr>
          <w:p>
            <w:pPr>
              <w:spacing w:after="0"/>
              <w:rPr>
                <w:sz w:val="19"/>
                <w:szCs w:val="19"/>
                <w:color w:val="auto"/>
              </w:rPr>
            </w:pPr>
          </w:p>
        </w:tc>
        <w:tc>
          <w:tcPr>
            <w:tcW w:w="500" w:type="dxa"/>
            <w:vAlign w:val="bottom"/>
            <w:shd w:val="clear" w:color="auto" w:fill="F1F2F2"/>
          </w:tcPr>
          <w:p>
            <w:pPr>
              <w:spacing w:after="0"/>
              <w:rPr>
                <w:sz w:val="19"/>
                <w:szCs w:val="19"/>
                <w:color w:val="auto"/>
              </w:rPr>
            </w:pPr>
          </w:p>
        </w:tc>
        <w:tc>
          <w:tcPr>
            <w:tcW w:w="480" w:type="dxa"/>
            <w:vAlign w:val="bottom"/>
            <w:shd w:val="clear" w:color="auto" w:fill="F1F2F2"/>
          </w:tcPr>
          <w:p>
            <w:pPr>
              <w:spacing w:after="0"/>
              <w:rPr>
                <w:sz w:val="19"/>
                <w:szCs w:val="19"/>
                <w:color w:val="auto"/>
              </w:rPr>
            </w:pPr>
          </w:p>
        </w:tc>
        <w:tc>
          <w:tcPr>
            <w:tcW w:w="480" w:type="dxa"/>
            <w:vAlign w:val="bottom"/>
            <w:shd w:val="clear" w:color="auto" w:fill="F1F2F2"/>
          </w:tcPr>
          <w:p>
            <w:pPr>
              <w:spacing w:after="0"/>
              <w:rPr>
                <w:sz w:val="19"/>
                <w:szCs w:val="19"/>
                <w:color w:val="auto"/>
              </w:rPr>
            </w:pPr>
          </w:p>
        </w:tc>
        <w:tc>
          <w:tcPr>
            <w:tcW w:w="500" w:type="dxa"/>
            <w:vAlign w:val="bottom"/>
            <w:shd w:val="clear" w:color="auto" w:fill="F1F2F2"/>
          </w:tcPr>
          <w:p>
            <w:pPr>
              <w:spacing w:after="0"/>
              <w:rPr>
                <w:sz w:val="19"/>
                <w:szCs w:val="19"/>
                <w:color w:val="auto"/>
              </w:rPr>
            </w:pPr>
          </w:p>
        </w:tc>
        <w:tc>
          <w:tcPr>
            <w:tcW w:w="100" w:type="dxa"/>
            <w:vAlign w:val="bottom"/>
            <w:shd w:val="clear" w:color="auto" w:fill="F1F2F2"/>
          </w:tcPr>
          <w:p>
            <w:pPr>
              <w:spacing w:after="0"/>
              <w:rPr>
                <w:sz w:val="19"/>
                <w:szCs w:val="19"/>
                <w:color w:val="auto"/>
              </w:rPr>
            </w:pPr>
          </w:p>
        </w:tc>
        <w:tc>
          <w:tcPr>
            <w:tcW w:w="380" w:type="dxa"/>
            <w:vAlign w:val="bottom"/>
            <w:shd w:val="clear" w:color="auto" w:fill="F1F2F2"/>
          </w:tcPr>
          <w:p>
            <w:pPr>
              <w:spacing w:after="0"/>
              <w:rPr>
                <w:sz w:val="19"/>
                <w:szCs w:val="19"/>
                <w:color w:val="auto"/>
              </w:rPr>
            </w:pPr>
          </w:p>
        </w:tc>
        <w:tc>
          <w:tcPr>
            <w:tcW w:w="480" w:type="dxa"/>
            <w:vAlign w:val="bottom"/>
            <w:shd w:val="clear" w:color="auto" w:fill="F1F2F2"/>
          </w:tcPr>
          <w:p>
            <w:pPr>
              <w:spacing w:after="0"/>
              <w:rPr>
                <w:sz w:val="19"/>
                <w:szCs w:val="19"/>
                <w:color w:val="auto"/>
              </w:rPr>
            </w:pPr>
          </w:p>
        </w:tc>
        <w:tc>
          <w:tcPr>
            <w:tcW w:w="100" w:type="dxa"/>
            <w:vAlign w:val="bottom"/>
            <w:shd w:val="clear" w:color="auto" w:fill="F1F2F2"/>
          </w:tcPr>
          <w:p>
            <w:pPr>
              <w:spacing w:after="0"/>
              <w:rPr>
                <w:sz w:val="19"/>
                <w:szCs w:val="19"/>
                <w:color w:val="auto"/>
              </w:rPr>
            </w:pPr>
          </w:p>
        </w:tc>
        <w:tc>
          <w:tcPr>
            <w:tcW w:w="400" w:type="dxa"/>
            <w:vAlign w:val="bottom"/>
            <w:shd w:val="clear" w:color="auto" w:fill="F1F2F2"/>
          </w:tcPr>
          <w:p>
            <w:pPr>
              <w:spacing w:after="0"/>
              <w:rPr>
                <w:sz w:val="19"/>
                <w:szCs w:val="19"/>
                <w:color w:val="auto"/>
              </w:rPr>
            </w:pPr>
          </w:p>
        </w:tc>
        <w:tc>
          <w:tcPr>
            <w:tcW w:w="120" w:type="dxa"/>
            <w:vAlign w:val="bottom"/>
            <w:shd w:val="clear" w:color="auto" w:fill="F1F2F2"/>
          </w:tcPr>
          <w:p>
            <w:pPr>
              <w:spacing w:after="0"/>
              <w:rPr>
                <w:sz w:val="19"/>
                <w:szCs w:val="19"/>
                <w:color w:val="auto"/>
              </w:rPr>
            </w:pPr>
          </w:p>
        </w:tc>
        <w:tc>
          <w:tcPr>
            <w:tcW w:w="360" w:type="dxa"/>
            <w:vAlign w:val="bottom"/>
            <w:shd w:val="clear" w:color="auto" w:fill="F1F2F2"/>
          </w:tcPr>
          <w:p>
            <w:pPr>
              <w:spacing w:after="0"/>
              <w:rPr>
                <w:sz w:val="19"/>
                <w:szCs w:val="19"/>
                <w:color w:val="auto"/>
              </w:rPr>
            </w:pPr>
          </w:p>
        </w:tc>
        <w:tc>
          <w:tcPr>
            <w:tcW w:w="140" w:type="dxa"/>
            <w:vAlign w:val="bottom"/>
            <w:shd w:val="clear" w:color="auto" w:fill="F1F2F2"/>
          </w:tcPr>
          <w:p>
            <w:pPr>
              <w:spacing w:after="0"/>
              <w:rPr>
                <w:sz w:val="19"/>
                <w:szCs w:val="19"/>
                <w:color w:val="auto"/>
              </w:rPr>
            </w:pPr>
          </w:p>
        </w:tc>
        <w:tc>
          <w:tcPr>
            <w:tcW w:w="340" w:type="dxa"/>
            <w:vAlign w:val="bottom"/>
            <w:shd w:val="clear" w:color="auto" w:fill="F1F2F2"/>
          </w:tcPr>
          <w:p>
            <w:pPr>
              <w:spacing w:after="0"/>
              <w:rPr>
                <w:sz w:val="19"/>
                <w:szCs w:val="19"/>
                <w:color w:val="auto"/>
              </w:rPr>
            </w:pPr>
          </w:p>
        </w:tc>
        <w:tc>
          <w:tcPr>
            <w:tcW w:w="140" w:type="dxa"/>
            <w:vAlign w:val="bottom"/>
            <w:shd w:val="clear" w:color="auto" w:fill="F1F2F2"/>
          </w:tcPr>
          <w:p>
            <w:pPr>
              <w:spacing w:after="0"/>
              <w:rPr>
                <w:sz w:val="19"/>
                <w:szCs w:val="19"/>
                <w:color w:val="auto"/>
              </w:rPr>
            </w:pPr>
          </w:p>
        </w:tc>
        <w:tc>
          <w:tcPr>
            <w:tcW w:w="360" w:type="dxa"/>
            <w:vAlign w:val="bottom"/>
            <w:shd w:val="clear" w:color="auto" w:fill="F1F2F2"/>
          </w:tcPr>
          <w:p>
            <w:pPr>
              <w:spacing w:after="0"/>
              <w:rPr>
                <w:sz w:val="19"/>
                <w:szCs w:val="19"/>
                <w:color w:val="auto"/>
              </w:rPr>
            </w:pPr>
          </w:p>
        </w:tc>
        <w:tc>
          <w:tcPr>
            <w:tcW w:w="120" w:type="dxa"/>
            <w:vAlign w:val="bottom"/>
            <w:shd w:val="clear" w:color="auto" w:fill="F1F2F2"/>
          </w:tcPr>
          <w:p>
            <w:pPr>
              <w:spacing w:after="0"/>
              <w:rPr>
                <w:sz w:val="19"/>
                <w:szCs w:val="19"/>
                <w:color w:val="auto"/>
              </w:rPr>
            </w:pPr>
          </w:p>
        </w:tc>
        <w:tc>
          <w:tcPr>
            <w:tcW w:w="360" w:type="dxa"/>
            <w:vAlign w:val="bottom"/>
            <w:shd w:val="clear" w:color="auto" w:fill="F1F2F2"/>
          </w:tcPr>
          <w:p>
            <w:pPr>
              <w:spacing w:after="0"/>
              <w:rPr>
                <w:sz w:val="19"/>
                <w:szCs w:val="19"/>
                <w:color w:val="auto"/>
              </w:rPr>
            </w:pPr>
          </w:p>
        </w:tc>
        <w:tc>
          <w:tcPr>
            <w:tcW w:w="140" w:type="dxa"/>
            <w:vAlign w:val="bottom"/>
            <w:shd w:val="clear" w:color="auto" w:fill="F1F2F2"/>
          </w:tcPr>
          <w:p>
            <w:pPr>
              <w:spacing w:after="0"/>
              <w:rPr>
                <w:sz w:val="19"/>
                <w:szCs w:val="19"/>
                <w:color w:val="auto"/>
              </w:rPr>
            </w:pPr>
          </w:p>
        </w:tc>
        <w:tc>
          <w:tcPr>
            <w:tcW w:w="340" w:type="dxa"/>
            <w:vAlign w:val="bottom"/>
            <w:shd w:val="clear" w:color="auto" w:fill="F1F2F2"/>
          </w:tcPr>
          <w:p>
            <w:pPr>
              <w:spacing w:after="0"/>
              <w:rPr>
                <w:sz w:val="19"/>
                <w:szCs w:val="19"/>
                <w:color w:val="auto"/>
              </w:rPr>
            </w:pPr>
          </w:p>
        </w:tc>
        <w:tc>
          <w:tcPr>
            <w:tcW w:w="140" w:type="dxa"/>
            <w:vAlign w:val="bottom"/>
            <w:shd w:val="clear" w:color="auto" w:fill="F1F2F2"/>
          </w:tcPr>
          <w:p>
            <w:pPr>
              <w:spacing w:after="0"/>
              <w:rPr>
                <w:sz w:val="19"/>
                <w:szCs w:val="19"/>
                <w:color w:val="auto"/>
              </w:rPr>
            </w:pPr>
          </w:p>
        </w:tc>
        <w:tc>
          <w:tcPr>
            <w:tcW w:w="360" w:type="dxa"/>
            <w:vAlign w:val="bottom"/>
            <w:shd w:val="clear" w:color="auto" w:fill="F1F2F2"/>
          </w:tcPr>
          <w:p>
            <w:pPr>
              <w:spacing w:after="0"/>
              <w:rPr>
                <w:sz w:val="19"/>
                <w:szCs w:val="19"/>
                <w:color w:val="auto"/>
              </w:rPr>
            </w:pPr>
          </w:p>
        </w:tc>
        <w:tc>
          <w:tcPr>
            <w:tcW w:w="120" w:type="dxa"/>
            <w:vAlign w:val="bottom"/>
            <w:shd w:val="clear" w:color="auto" w:fill="F1F2F2"/>
          </w:tcPr>
          <w:p>
            <w:pPr>
              <w:spacing w:after="0"/>
              <w:rPr>
                <w:sz w:val="19"/>
                <w:szCs w:val="19"/>
                <w:color w:val="auto"/>
              </w:rPr>
            </w:pPr>
          </w:p>
        </w:tc>
        <w:tc>
          <w:tcPr>
            <w:tcW w:w="360" w:type="dxa"/>
            <w:vAlign w:val="bottom"/>
            <w:shd w:val="clear" w:color="auto" w:fill="F1F2F2"/>
          </w:tcPr>
          <w:p>
            <w:pPr>
              <w:spacing w:after="0"/>
              <w:rPr>
                <w:sz w:val="19"/>
                <w:szCs w:val="19"/>
                <w:color w:val="auto"/>
              </w:rPr>
            </w:pPr>
          </w:p>
        </w:tc>
        <w:tc>
          <w:tcPr>
            <w:tcW w:w="140" w:type="dxa"/>
            <w:vAlign w:val="bottom"/>
            <w:shd w:val="clear" w:color="auto" w:fill="F1F2F2"/>
          </w:tcPr>
          <w:p>
            <w:pPr>
              <w:spacing w:after="0"/>
              <w:rPr>
                <w:sz w:val="19"/>
                <w:szCs w:val="19"/>
                <w:color w:val="auto"/>
              </w:rPr>
            </w:pPr>
          </w:p>
        </w:tc>
        <w:tc>
          <w:tcPr>
            <w:tcW w:w="42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Goodwill</w:t>
            </w:r>
          </w:p>
        </w:tc>
        <w:tc>
          <w:tcPr>
            <w:tcW w:w="100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w w:val="96"/>
              </w:rPr>
              <w:t>—90</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3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100" w:type="dxa"/>
            <w:vAlign w:val="bottom"/>
            <w:vMerge w:val="restart"/>
          </w:tcPr>
          <w:p>
            <w:pPr>
              <w:ind w:left="160"/>
              <w:spacing w:after="0"/>
              <w:rPr>
                <w:sz w:val="20"/>
                <w:szCs w:val="20"/>
                <w:color w:val="auto"/>
              </w:rPr>
            </w:pPr>
            <w:r>
              <w:rPr>
                <w:rFonts w:ascii="Arial" w:cs="Arial" w:eastAsia="Arial" w:hAnsi="Arial"/>
                <w:sz w:val="13"/>
                <w:szCs w:val="13"/>
                <w:color w:val="auto"/>
              </w:rPr>
              <w:t>impairment</w:t>
            </w:r>
          </w:p>
        </w:tc>
        <w:tc>
          <w:tcPr>
            <w:tcW w:w="100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00" w:type="dxa"/>
            <w:vAlign w:val="bottom"/>
            <w:shd w:val="clear" w:color="auto" w:fill="F1F2F2"/>
          </w:tcPr>
          <w:p>
            <w:pPr>
              <w:spacing w:after="0"/>
              <w:rPr>
                <w:sz w:val="18"/>
                <w:szCs w:val="18"/>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Restructuring</w:t>
            </w:r>
          </w:p>
        </w:tc>
        <w:tc>
          <w:tcPr>
            <w:tcW w:w="500" w:type="dxa"/>
            <w:vAlign w:val="bottom"/>
            <w:shd w:val="clear" w:color="auto" w:fill="F1F2F2"/>
          </w:tcPr>
          <w:p>
            <w:pPr>
              <w:spacing w:after="0"/>
              <w:rPr>
                <w:sz w:val="18"/>
                <w:szCs w:val="18"/>
                <w:color w:val="auto"/>
              </w:rPr>
            </w:pPr>
          </w:p>
        </w:tc>
        <w:tc>
          <w:tcPr>
            <w:tcW w:w="50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50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38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40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4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4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420" w:type="dxa"/>
            <w:vAlign w:val="bottom"/>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F1F2F2"/>
          </w:tcPr>
          <w:p>
            <w:pPr>
              <w:spacing w:after="0"/>
              <w:rPr>
                <w:sz w:val="12"/>
                <w:szCs w:val="12"/>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and related</w:t>
            </w:r>
          </w:p>
        </w:tc>
        <w:tc>
          <w:tcPr>
            <w:tcW w:w="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18</w:t>
            </w:r>
          </w:p>
        </w:tc>
        <w:tc>
          <w:tcPr>
            <w:tcW w:w="50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rPr>
              <w:t>9</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w:t>
            </w:r>
          </w:p>
        </w:tc>
        <w:tc>
          <w:tcPr>
            <w:tcW w:w="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F1F2F2"/>
          </w:tcPr>
          <w:p>
            <w:pPr>
              <w:spacing w:after="0"/>
              <w:rPr>
                <w:sz w:val="12"/>
                <w:szCs w:val="12"/>
                <w:color w:val="auto"/>
              </w:rPr>
            </w:pPr>
          </w:p>
        </w:tc>
        <w:tc>
          <w:tcPr>
            <w:tcW w:w="3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F1F2F2"/>
          </w:tcPr>
          <w:p>
            <w:pPr>
              <w:spacing w:after="0"/>
              <w:rPr>
                <w:sz w:val="12"/>
                <w:szCs w:val="12"/>
                <w:color w:val="auto"/>
              </w:rPr>
            </w:pPr>
          </w:p>
        </w:tc>
        <w:tc>
          <w:tcPr>
            <w:tcW w:w="40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1</w:t>
            </w:r>
          </w:p>
        </w:tc>
        <w:tc>
          <w:tcPr>
            <w:tcW w:w="140" w:type="dxa"/>
            <w:vAlign w:val="bottom"/>
            <w:shd w:val="clear" w:color="auto" w:fill="F1F2F2"/>
          </w:tcPr>
          <w:p>
            <w:pPr>
              <w:spacing w:after="0"/>
              <w:rPr>
                <w:sz w:val="12"/>
                <w:szCs w:val="12"/>
                <w:color w:val="auto"/>
              </w:rPr>
            </w:pP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42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00" w:type="dxa"/>
            <w:vAlign w:val="bottom"/>
            <w:tcBorders>
              <w:bottom w:val="single" w:sz="8" w:color="F1F2F2"/>
            </w:tcBorders>
            <w:shd w:val="clear" w:color="auto" w:fill="F1F2F2"/>
          </w:tcPr>
          <w:p>
            <w:pPr>
              <w:spacing w:after="0"/>
              <w:rPr>
                <w:sz w:val="17"/>
                <w:szCs w:val="17"/>
                <w:color w:val="auto"/>
              </w:rPr>
            </w:pPr>
          </w:p>
        </w:tc>
        <w:tc>
          <w:tcPr>
            <w:tcW w:w="11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3"/>
                <w:szCs w:val="13"/>
                <w:color w:val="auto"/>
              </w:rPr>
              <w:t>costs</w:t>
            </w:r>
          </w:p>
        </w:tc>
        <w:tc>
          <w:tcPr>
            <w:tcW w:w="500" w:type="dxa"/>
            <w:vAlign w:val="bottom"/>
            <w:tcBorders>
              <w:bottom w:val="single" w:sz="8" w:color="F1F2F2"/>
            </w:tcBorders>
            <w:shd w:val="clear" w:color="auto" w:fill="F1F2F2"/>
          </w:tcPr>
          <w:p>
            <w:pPr>
              <w:spacing w:after="0"/>
              <w:rPr>
                <w:sz w:val="17"/>
                <w:szCs w:val="17"/>
                <w:color w:val="auto"/>
              </w:rPr>
            </w:pPr>
          </w:p>
        </w:tc>
        <w:tc>
          <w:tcPr>
            <w:tcW w:w="500" w:type="dxa"/>
            <w:vAlign w:val="bottom"/>
            <w:tcBorders>
              <w:bottom w:val="single" w:sz="8" w:color="F1F2F2"/>
            </w:tcBorders>
            <w:shd w:val="clear" w:color="auto" w:fill="F1F2F2"/>
          </w:tcPr>
          <w:p>
            <w:pPr>
              <w:spacing w:after="0"/>
              <w:rPr>
                <w:sz w:val="17"/>
                <w:szCs w:val="17"/>
                <w:color w:val="auto"/>
              </w:rPr>
            </w:pPr>
          </w:p>
        </w:tc>
        <w:tc>
          <w:tcPr>
            <w:tcW w:w="480" w:type="dxa"/>
            <w:vAlign w:val="bottom"/>
            <w:tcBorders>
              <w:bottom w:val="single" w:sz="8" w:color="F1F2F2"/>
            </w:tcBorders>
            <w:shd w:val="clear" w:color="auto" w:fill="F1F2F2"/>
          </w:tcPr>
          <w:p>
            <w:pPr>
              <w:spacing w:after="0"/>
              <w:rPr>
                <w:sz w:val="17"/>
                <w:szCs w:val="17"/>
                <w:color w:val="auto"/>
              </w:rPr>
            </w:pPr>
          </w:p>
        </w:tc>
        <w:tc>
          <w:tcPr>
            <w:tcW w:w="480" w:type="dxa"/>
            <w:vAlign w:val="bottom"/>
            <w:tcBorders>
              <w:bottom w:val="single" w:sz="8" w:color="F1F2F2"/>
            </w:tcBorders>
            <w:shd w:val="clear" w:color="auto" w:fill="F1F2F2"/>
          </w:tcPr>
          <w:p>
            <w:pPr>
              <w:spacing w:after="0"/>
              <w:rPr>
                <w:sz w:val="17"/>
                <w:szCs w:val="17"/>
                <w:color w:val="auto"/>
              </w:rPr>
            </w:pPr>
          </w:p>
        </w:tc>
        <w:tc>
          <w:tcPr>
            <w:tcW w:w="500" w:type="dxa"/>
            <w:vAlign w:val="bottom"/>
            <w:tcBorders>
              <w:bottom w:val="single" w:sz="8" w:color="F1F2F2"/>
            </w:tcBorders>
            <w:shd w:val="clear" w:color="auto" w:fill="F1F2F2"/>
          </w:tcPr>
          <w:p>
            <w:pPr>
              <w:spacing w:after="0"/>
              <w:rPr>
                <w:sz w:val="17"/>
                <w:szCs w:val="17"/>
                <w:color w:val="auto"/>
              </w:rPr>
            </w:pPr>
          </w:p>
        </w:tc>
        <w:tc>
          <w:tcPr>
            <w:tcW w:w="100" w:type="dxa"/>
            <w:vAlign w:val="bottom"/>
            <w:tcBorders>
              <w:bottom w:val="single" w:sz="8" w:color="F1F2F2"/>
            </w:tcBorders>
            <w:shd w:val="clear" w:color="auto" w:fill="F1F2F2"/>
          </w:tcPr>
          <w:p>
            <w:pPr>
              <w:spacing w:after="0"/>
              <w:rPr>
                <w:sz w:val="17"/>
                <w:szCs w:val="17"/>
                <w:color w:val="auto"/>
              </w:rPr>
            </w:pPr>
          </w:p>
        </w:tc>
        <w:tc>
          <w:tcPr>
            <w:tcW w:w="380" w:type="dxa"/>
            <w:vAlign w:val="bottom"/>
            <w:tcBorders>
              <w:bottom w:val="single" w:sz="8" w:color="F1F2F2"/>
            </w:tcBorders>
            <w:shd w:val="clear" w:color="auto" w:fill="F1F2F2"/>
          </w:tcPr>
          <w:p>
            <w:pPr>
              <w:spacing w:after="0"/>
              <w:rPr>
                <w:sz w:val="17"/>
                <w:szCs w:val="17"/>
                <w:color w:val="auto"/>
              </w:rPr>
            </w:pPr>
          </w:p>
        </w:tc>
        <w:tc>
          <w:tcPr>
            <w:tcW w:w="480" w:type="dxa"/>
            <w:vAlign w:val="bottom"/>
            <w:tcBorders>
              <w:bottom w:val="single" w:sz="8" w:color="F1F2F2"/>
            </w:tcBorders>
            <w:shd w:val="clear" w:color="auto" w:fill="F1F2F2"/>
          </w:tcPr>
          <w:p>
            <w:pPr>
              <w:spacing w:after="0"/>
              <w:rPr>
                <w:sz w:val="17"/>
                <w:szCs w:val="17"/>
                <w:color w:val="auto"/>
              </w:rPr>
            </w:pPr>
          </w:p>
        </w:tc>
        <w:tc>
          <w:tcPr>
            <w:tcW w:w="100" w:type="dxa"/>
            <w:vAlign w:val="bottom"/>
            <w:tcBorders>
              <w:bottom w:val="single" w:sz="8" w:color="F1F2F2"/>
            </w:tcBorders>
            <w:shd w:val="clear" w:color="auto" w:fill="F1F2F2"/>
          </w:tcPr>
          <w:p>
            <w:pPr>
              <w:spacing w:after="0"/>
              <w:rPr>
                <w:sz w:val="17"/>
                <w:szCs w:val="17"/>
                <w:color w:val="auto"/>
              </w:rPr>
            </w:pPr>
          </w:p>
        </w:tc>
        <w:tc>
          <w:tcPr>
            <w:tcW w:w="400" w:type="dxa"/>
            <w:vAlign w:val="bottom"/>
            <w:tcBorders>
              <w:bottom w:val="single" w:sz="8" w:color="F1F2F2"/>
            </w:tcBorders>
            <w:shd w:val="clear" w:color="auto" w:fill="F1F2F2"/>
          </w:tcPr>
          <w:p>
            <w:pPr>
              <w:spacing w:after="0"/>
              <w:rPr>
                <w:sz w:val="17"/>
                <w:szCs w:val="17"/>
                <w:color w:val="auto"/>
              </w:rPr>
            </w:pPr>
          </w:p>
        </w:tc>
        <w:tc>
          <w:tcPr>
            <w:tcW w:w="12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4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2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4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2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420" w:type="dxa"/>
            <w:vAlign w:val="bottom"/>
            <w:tcBorders>
              <w:bottom w:val="single" w:sz="8" w:color="F1F2F2"/>
            </w:tcBorders>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Write-off of</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customer</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90</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receivable</w:t>
            </w:r>
            <w:r>
              <w:rPr>
                <w:rFonts w:ascii="Arial" w:cs="Arial" w:eastAsia="Arial" w:hAnsi="Arial"/>
                <w:sz w:val="16"/>
                <w:szCs w:val="16"/>
                <w:color w:val="auto"/>
                <w:vertAlign w:val="superscript"/>
              </w:rPr>
              <w:t>(5)</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F1F2F2"/>
          </w:tcPr>
          <w:p>
            <w:pPr>
              <w:spacing w:after="0"/>
              <w:rPr>
                <w:sz w:val="17"/>
                <w:szCs w:val="17"/>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Adjustment at</w:t>
            </w:r>
          </w:p>
        </w:tc>
        <w:tc>
          <w:tcPr>
            <w:tcW w:w="500" w:type="dxa"/>
            <w:vAlign w:val="bottom"/>
            <w:shd w:val="clear" w:color="auto" w:fill="F1F2F2"/>
          </w:tcPr>
          <w:p>
            <w:pPr>
              <w:spacing w:after="0"/>
              <w:rPr>
                <w:sz w:val="17"/>
                <w:szCs w:val="17"/>
                <w:color w:val="auto"/>
              </w:rPr>
            </w:pPr>
          </w:p>
        </w:tc>
        <w:tc>
          <w:tcPr>
            <w:tcW w:w="50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50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38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400" w:type="dxa"/>
            <w:vAlign w:val="bottom"/>
            <w:shd w:val="clear" w:color="auto" w:fill="F1F2F2"/>
          </w:tcPr>
          <w:p>
            <w:pPr>
              <w:spacing w:after="0"/>
              <w:rPr>
                <w:sz w:val="17"/>
                <w:szCs w:val="17"/>
                <w:color w:val="auto"/>
              </w:rPr>
            </w:pPr>
          </w:p>
        </w:tc>
        <w:tc>
          <w:tcPr>
            <w:tcW w:w="120" w:type="dxa"/>
            <w:vAlign w:val="bottom"/>
            <w:shd w:val="clear" w:color="auto" w:fill="F1F2F2"/>
          </w:tcPr>
          <w:p>
            <w:pPr>
              <w:spacing w:after="0"/>
              <w:rPr>
                <w:sz w:val="17"/>
                <w:szCs w:val="17"/>
                <w:color w:val="auto"/>
              </w:rPr>
            </w:pPr>
          </w:p>
        </w:tc>
        <w:tc>
          <w:tcPr>
            <w:tcW w:w="36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34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360" w:type="dxa"/>
            <w:vAlign w:val="bottom"/>
            <w:shd w:val="clear" w:color="auto" w:fill="F1F2F2"/>
          </w:tcPr>
          <w:p>
            <w:pPr>
              <w:spacing w:after="0"/>
              <w:rPr>
                <w:sz w:val="17"/>
                <w:szCs w:val="17"/>
                <w:color w:val="auto"/>
              </w:rPr>
            </w:pPr>
          </w:p>
        </w:tc>
        <w:tc>
          <w:tcPr>
            <w:tcW w:w="120" w:type="dxa"/>
            <w:vAlign w:val="bottom"/>
            <w:shd w:val="clear" w:color="auto" w:fill="F1F2F2"/>
          </w:tcPr>
          <w:p>
            <w:pPr>
              <w:spacing w:after="0"/>
              <w:rPr>
                <w:sz w:val="17"/>
                <w:szCs w:val="17"/>
                <w:color w:val="auto"/>
              </w:rPr>
            </w:pPr>
          </w:p>
        </w:tc>
        <w:tc>
          <w:tcPr>
            <w:tcW w:w="36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34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360" w:type="dxa"/>
            <w:vAlign w:val="bottom"/>
            <w:shd w:val="clear" w:color="auto" w:fill="F1F2F2"/>
          </w:tcPr>
          <w:p>
            <w:pPr>
              <w:spacing w:after="0"/>
              <w:rPr>
                <w:sz w:val="17"/>
                <w:szCs w:val="17"/>
                <w:color w:val="auto"/>
              </w:rPr>
            </w:pPr>
          </w:p>
        </w:tc>
        <w:tc>
          <w:tcPr>
            <w:tcW w:w="120" w:type="dxa"/>
            <w:vAlign w:val="bottom"/>
            <w:shd w:val="clear" w:color="auto" w:fill="F1F2F2"/>
          </w:tcPr>
          <w:p>
            <w:pPr>
              <w:spacing w:after="0"/>
              <w:rPr>
                <w:sz w:val="17"/>
                <w:szCs w:val="17"/>
                <w:color w:val="auto"/>
              </w:rPr>
            </w:pPr>
          </w:p>
        </w:tc>
        <w:tc>
          <w:tcPr>
            <w:tcW w:w="36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42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F1F2F2"/>
          </w:tcPr>
          <w:p>
            <w:pPr>
              <w:spacing w:after="0"/>
              <w:rPr>
                <w:sz w:val="12"/>
                <w:szCs w:val="12"/>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equity method</w:t>
            </w:r>
          </w:p>
        </w:tc>
        <w:tc>
          <w:tcPr>
            <w:tcW w:w="5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28</w:t>
            </w:r>
          </w:p>
        </w:tc>
        <w:tc>
          <w:tcPr>
            <w:tcW w:w="500" w:type="dxa"/>
            <w:vAlign w:val="bottom"/>
            <w:vMerge w:val="restart"/>
            <w:shd w:val="clear" w:color="auto" w:fill="F1F2F2"/>
          </w:tcPr>
          <w:p>
            <w:pPr>
              <w:jc w:val="right"/>
              <w:ind w:right="16"/>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F1F2F2"/>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shd w:val="clear" w:color="auto" w:fill="F1F2F2"/>
          </w:tcPr>
          <w:p>
            <w:pPr>
              <w:spacing w:after="0"/>
              <w:rPr>
                <w:sz w:val="12"/>
                <w:szCs w:val="12"/>
                <w:color w:val="auto"/>
              </w:rPr>
            </w:pPr>
          </w:p>
        </w:tc>
        <w:tc>
          <w:tcPr>
            <w:tcW w:w="38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F1F2F2"/>
          </w:tcPr>
          <w:p>
            <w:pPr>
              <w:spacing w:after="0"/>
              <w:rPr>
                <w:sz w:val="12"/>
                <w:szCs w:val="12"/>
                <w:color w:val="auto"/>
              </w:rPr>
            </w:pPr>
          </w:p>
        </w:tc>
        <w:tc>
          <w:tcPr>
            <w:tcW w:w="40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2"/>
                <w:szCs w:val="12"/>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2"/>
                <w:szCs w:val="12"/>
                <w:color w:val="auto"/>
              </w:rPr>
            </w:pPr>
          </w:p>
        </w:tc>
        <w:tc>
          <w:tcPr>
            <w:tcW w:w="42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100" w:type="dxa"/>
            <w:vAlign w:val="bottom"/>
            <w:shd w:val="clear" w:color="auto" w:fill="F1F2F2"/>
          </w:tcPr>
          <w:p>
            <w:pPr>
              <w:spacing w:after="0"/>
              <w:rPr>
                <w:sz w:val="8"/>
                <w:szCs w:val="8"/>
                <w:color w:val="auto"/>
              </w:rPr>
            </w:pPr>
          </w:p>
        </w:tc>
        <w:tc>
          <w:tcPr>
            <w:tcW w:w="1100" w:type="dxa"/>
            <w:vAlign w:val="bottom"/>
            <w:vMerge w:val="restart"/>
            <w:shd w:val="clear" w:color="auto" w:fill="F1F2F2"/>
          </w:tcPr>
          <w:p>
            <w:pPr>
              <w:ind w:left="160"/>
              <w:spacing w:after="0"/>
              <w:rPr>
                <w:sz w:val="20"/>
                <w:szCs w:val="20"/>
                <w:color w:val="auto"/>
              </w:rPr>
            </w:pPr>
            <w:r>
              <w:rPr>
                <w:rFonts w:ascii="Arial" w:cs="Arial" w:eastAsia="Arial" w:hAnsi="Arial"/>
                <w:sz w:val="13"/>
                <w:szCs w:val="13"/>
                <w:color w:val="auto"/>
              </w:rPr>
              <w:t>investment, net</w:t>
            </w:r>
          </w:p>
        </w:tc>
        <w:tc>
          <w:tcPr>
            <w:tcW w:w="500" w:type="dxa"/>
            <w:vAlign w:val="bottom"/>
            <w:vMerge w:val="continue"/>
            <w:shd w:val="clear" w:color="auto" w:fill="F1F2F2"/>
          </w:tcPr>
          <w:p>
            <w:pPr>
              <w:spacing w:after="0"/>
              <w:rPr>
                <w:sz w:val="8"/>
                <w:szCs w:val="8"/>
                <w:color w:val="auto"/>
              </w:rPr>
            </w:pPr>
          </w:p>
        </w:tc>
        <w:tc>
          <w:tcPr>
            <w:tcW w:w="500" w:type="dxa"/>
            <w:vAlign w:val="bottom"/>
            <w:vMerge w:val="continue"/>
            <w:shd w:val="clear" w:color="auto" w:fill="F1F2F2"/>
          </w:tcPr>
          <w:p>
            <w:pPr>
              <w:spacing w:after="0"/>
              <w:rPr>
                <w:sz w:val="8"/>
                <w:szCs w:val="8"/>
                <w:color w:val="auto"/>
              </w:rPr>
            </w:pPr>
          </w:p>
        </w:tc>
        <w:tc>
          <w:tcPr>
            <w:tcW w:w="480" w:type="dxa"/>
            <w:vAlign w:val="bottom"/>
            <w:vMerge w:val="continue"/>
            <w:shd w:val="clear" w:color="auto" w:fill="F1F2F2"/>
          </w:tcPr>
          <w:p>
            <w:pPr>
              <w:spacing w:after="0"/>
              <w:rPr>
                <w:sz w:val="8"/>
                <w:szCs w:val="8"/>
                <w:color w:val="auto"/>
              </w:rPr>
            </w:pPr>
          </w:p>
        </w:tc>
        <w:tc>
          <w:tcPr>
            <w:tcW w:w="480" w:type="dxa"/>
            <w:vAlign w:val="bottom"/>
            <w:vMerge w:val="continue"/>
            <w:shd w:val="clear" w:color="auto" w:fill="F1F2F2"/>
          </w:tcPr>
          <w:p>
            <w:pPr>
              <w:spacing w:after="0"/>
              <w:rPr>
                <w:sz w:val="8"/>
                <w:szCs w:val="8"/>
                <w:color w:val="auto"/>
              </w:rPr>
            </w:pPr>
          </w:p>
        </w:tc>
        <w:tc>
          <w:tcPr>
            <w:tcW w:w="500" w:type="dxa"/>
            <w:vAlign w:val="bottom"/>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380" w:type="dxa"/>
            <w:vAlign w:val="bottom"/>
            <w:vMerge w:val="continue"/>
            <w:shd w:val="clear" w:color="auto" w:fill="F1F2F2"/>
          </w:tcPr>
          <w:p>
            <w:pPr>
              <w:spacing w:after="0"/>
              <w:rPr>
                <w:sz w:val="8"/>
                <w:szCs w:val="8"/>
                <w:color w:val="auto"/>
              </w:rPr>
            </w:pPr>
          </w:p>
        </w:tc>
        <w:tc>
          <w:tcPr>
            <w:tcW w:w="480" w:type="dxa"/>
            <w:vAlign w:val="bottom"/>
            <w:vMerge w:val="continue"/>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400" w:type="dxa"/>
            <w:vAlign w:val="bottom"/>
            <w:vMerge w:val="continue"/>
            <w:shd w:val="clear" w:color="auto" w:fill="F1F2F2"/>
          </w:tcPr>
          <w:p>
            <w:pPr>
              <w:spacing w:after="0"/>
              <w:rPr>
                <w:sz w:val="8"/>
                <w:szCs w:val="8"/>
                <w:color w:val="auto"/>
              </w:rPr>
            </w:pPr>
          </w:p>
        </w:tc>
        <w:tc>
          <w:tcPr>
            <w:tcW w:w="120" w:type="dxa"/>
            <w:vAlign w:val="bottom"/>
            <w:shd w:val="clear" w:color="auto" w:fill="F1F2F2"/>
          </w:tcPr>
          <w:p>
            <w:pPr>
              <w:spacing w:after="0"/>
              <w:rPr>
                <w:sz w:val="8"/>
                <w:szCs w:val="8"/>
                <w:color w:val="auto"/>
              </w:rPr>
            </w:pPr>
          </w:p>
        </w:tc>
        <w:tc>
          <w:tcPr>
            <w:tcW w:w="360" w:type="dxa"/>
            <w:vAlign w:val="bottom"/>
            <w:vMerge w:val="continue"/>
            <w:shd w:val="clear" w:color="auto" w:fill="F1F2F2"/>
          </w:tcPr>
          <w:p>
            <w:pPr>
              <w:spacing w:after="0"/>
              <w:rPr>
                <w:sz w:val="8"/>
                <w:szCs w:val="8"/>
                <w:color w:val="auto"/>
              </w:rPr>
            </w:pPr>
          </w:p>
        </w:tc>
        <w:tc>
          <w:tcPr>
            <w:tcW w:w="140" w:type="dxa"/>
            <w:vAlign w:val="bottom"/>
            <w:shd w:val="clear" w:color="auto" w:fill="F1F2F2"/>
          </w:tcPr>
          <w:p>
            <w:pPr>
              <w:spacing w:after="0"/>
              <w:rPr>
                <w:sz w:val="8"/>
                <w:szCs w:val="8"/>
                <w:color w:val="auto"/>
              </w:rPr>
            </w:pPr>
          </w:p>
        </w:tc>
        <w:tc>
          <w:tcPr>
            <w:tcW w:w="340" w:type="dxa"/>
            <w:vAlign w:val="bottom"/>
            <w:vMerge w:val="continue"/>
            <w:shd w:val="clear" w:color="auto" w:fill="F1F2F2"/>
          </w:tcPr>
          <w:p>
            <w:pPr>
              <w:spacing w:after="0"/>
              <w:rPr>
                <w:sz w:val="8"/>
                <w:szCs w:val="8"/>
                <w:color w:val="auto"/>
              </w:rPr>
            </w:pPr>
          </w:p>
        </w:tc>
        <w:tc>
          <w:tcPr>
            <w:tcW w:w="140" w:type="dxa"/>
            <w:vAlign w:val="bottom"/>
            <w:shd w:val="clear" w:color="auto" w:fill="F1F2F2"/>
          </w:tcPr>
          <w:p>
            <w:pPr>
              <w:spacing w:after="0"/>
              <w:rPr>
                <w:sz w:val="8"/>
                <w:szCs w:val="8"/>
                <w:color w:val="auto"/>
              </w:rPr>
            </w:pPr>
          </w:p>
        </w:tc>
        <w:tc>
          <w:tcPr>
            <w:tcW w:w="360" w:type="dxa"/>
            <w:vAlign w:val="bottom"/>
            <w:vMerge w:val="continue"/>
            <w:shd w:val="clear" w:color="auto" w:fill="F1F2F2"/>
          </w:tcPr>
          <w:p>
            <w:pPr>
              <w:spacing w:after="0"/>
              <w:rPr>
                <w:sz w:val="8"/>
                <w:szCs w:val="8"/>
                <w:color w:val="auto"/>
              </w:rPr>
            </w:pPr>
          </w:p>
        </w:tc>
        <w:tc>
          <w:tcPr>
            <w:tcW w:w="120" w:type="dxa"/>
            <w:vAlign w:val="bottom"/>
            <w:shd w:val="clear" w:color="auto" w:fill="F1F2F2"/>
          </w:tcPr>
          <w:p>
            <w:pPr>
              <w:spacing w:after="0"/>
              <w:rPr>
                <w:sz w:val="8"/>
                <w:szCs w:val="8"/>
                <w:color w:val="auto"/>
              </w:rPr>
            </w:pPr>
          </w:p>
        </w:tc>
        <w:tc>
          <w:tcPr>
            <w:tcW w:w="360" w:type="dxa"/>
            <w:vAlign w:val="bottom"/>
            <w:vMerge w:val="continue"/>
            <w:shd w:val="clear" w:color="auto" w:fill="F1F2F2"/>
          </w:tcPr>
          <w:p>
            <w:pPr>
              <w:spacing w:after="0"/>
              <w:rPr>
                <w:sz w:val="8"/>
                <w:szCs w:val="8"/>
                <w:color w:val="auto"/>
              </w:rPr>
            </w:pPr>
          </w:p>
        </w:tc>
        <w:tc>
          <w:tcPr>
            <w:tcW w:w="140" w:type="dxa"/>
            <w:vAlign w:val="bottom"/>
            <w:shd w:val="clear" w:color="auto" w:fill="F1F2F2"/>
          </w:tcPr>
          <w:p>
            <w:pPr>
              <w:spacing w:after="0"/>
              <w:rPr>
                <w:sz w:val="8"/>
                <w:szCs w:val="8"/>
                <w:color w:val="auto"/>
              </w:rPr>
            </w:pPr>
          </w:p>
        </w:tc>
        <w:tc>
          <w:tcPr>
            <w:tcW w:w="340" w:type="dxa"/>
            <w:vAlign w:val="bottom"/>
            <w:vMerge w:val="continue"/>
            <w:shd w:val="clear" w:color="auto" w:fill="F1F2F2"/>
          </w:tcPr>
          <w:p>
            <w:pPr>
              <w:spacing w:after="0"/>
              <w:rPr>
                <w:sz w:val="8"/>
                <w:szCs w:val="8"/>
                <w:color w:val="auto"/>
              </w:rPr>
            </w:pPr>
          </w:p>
        </w:tc>
        <w:tc>
          <w:tcPr>
            <w:tcW w:w="140" w:type="dxa"/>
            <w:vAlign w:val="bottom"/>
            <w:shd w:val="clear" w:color="auto" w:fill="F1F2F2"/>
          </w:tcPr>
          <w:p>
            <w:pPr>
              <w:spacing w:after="0"/>
              <w:rPr>
                <w:sz w:val="8"/>
                <w:szCs w:val="8"/>
                <w:color w:val="auto"/>
              </w:rPr>
            </w:pPr>
          </w:p>
        </w:tc>
        <w:tc>
          <w:tcPr>
            <w:tcW w:w="360" w:type="dxa"/>
            <w:vAlign w:val="bottom"/>
            <w:vMerge w:val="continue"/>
            <w:shd w:val="clear" w:color="auto" w:fill="F1F2F2"/>
          </w:tcPr>
          <w:p>
            <w:pPr>
              <w:spacing w:after="0"/>
              <w:rPr>
                <w:sz w:val="8"/>
                <w:szCs w:val="8"/>
                <w:color w:val="auto"/>
              </w:rPr>
            </w:pPr>
          </w:p>
        </w:tc>
        <w:tc>
          <w:tcPr>
            <w:tcW w:w="120" w:type="dxa"/>
            <w:vAlign w:val="bottom"/>
            <w:shd w:val="clear" w:color="auto" w:fill="F1F2F2"/>
          </w:tcPr>
          <w:p>
            <w:pPr>
              <w:spacing w:after="0"/>
              <w:rPr>
                <w:sz w:val="8"/>
                <w:szCs w:val="8"/>
                <w:color w:val="auto"/>
              </w:rPr>
            </w:pPr>
          </w:p>
        </w:tc>
        <w:tc>
          <w:tcPr>
            <w:tcW w:w="360" w:type="dxa"/>
            <w:vAlign w:val="bottom"/>
            <w:vMerge w:val="continue"/>
            <w:shd w:val="clear" w:color="auto" w:fill="F1F2F2"/>
          </w:tcPr>
          <w:p>
            <w:pPr>
              <w:spacing w:after="0"/>
              <w:rPr>
                <w:sz w:val="8"/>
                <w:szCs w:val="8"/>
                <w:color w:val="auto"/>
              </w:rPr>
            </w:pPr>
          </w:p>
        </w:tc>
        <w:tc>
          <w:tcPr>
            <w:tcW w:w="140" w:type="dxa"/>
            <w:vAlign w:val="bottom"/>
            <w:shd w:val="clear" w:color="auto" w:fill="F1F2F2"/>
          </w:tcPr>
          <w:p>
            <w:pPr>
              <w:spacing w:after="0"/>
              <w:rPr>
                <w:sz w:val="8"/>
                <w:szCs w:val="8"/>
                <w:color w:val="auto"/>
              </w:rPr>
            </w:pPr>
          </w:p>
        </w:tc>
        <w:tc>
          <w:tcPr>
            <w:tcW w:w="42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shd w:val="clear" w:color="auto" w:fill="F1F2F2"/>
          </w:tcPr>
          <w:p>
            <w:pPr>
              <w:spacing w:after="0"/>
              <w:rPr>
                <w:sz w:val="5"/>
                <w:szCs w:val="5"/>
                <w:color w:val="auto"/>
              </w:rPr>
            </w:pPr>
          </w:p>
        </w:tc>
        <w:tc>
          <w:tcPr>
            <w:tcW w:w="1100" w:type="dxa"/>
            <w:vAlign w:val="bottom"/>
            <w:vMerge w:val="continue"/>
            <w:shd w:val="clear" w:color="auto" w:fill="F1F2F2"/>
          </w:tcPr>
          <w:p>
            <w:pPr>
              <w:spacing w:after="0"/>
              <w:rPr>
                <w:sz w:val="5"/>
                <w:szCs w:val="5"/>
                <w:color w:val="auto"/>
              </w:rPr>
            </w:pPr>
          </w:p>
        </w:tc>
        <w:tc>
          <w:tcPr>
            <w:tcW w:w="500" w:type="dxa"/>
            <w:vAlign w:val="bottom"/>
            <w:shd w:val="clear" w:color="auto" w:fill="F1F2F2"/>
          </w:tcPr>
          <w:p>
            <w:pPr>
              <w:spacing w:after="0"/>
              <w:rPr>
                <w:sz w:val="5"/>
                <w:szCs w:val="5"/>
                <w:color w:val="auto"/>
              </w:rPr>
            </w:pPr>
          </w:p>
        </w:tc>
        <w:tc>
          <w:tcPr>
            <w:tcW w:w="500" w:type="dxa"/>
            <w:vAlign w:val="bottom"/>
            <w:shd w:val="clear" w:color="auto" w:fill="F1F2F2"/>
          </w:tcPr>
          <w:p>
            <w:pPr>
              <w:spacing w:after="0"/>
              <w:rPr>
                <w:sz w:val="5"/>
                <w:szCs w:val="5"/>
                <w:color w:val="auto"/>
              </w:rPr>
            </w:pPr>
          </w:p>
        </w:tc>
        <w:tc>
          <w:tcPr>
            <w:tcW w:w="480" w:type="dxa"/>
            <w:vAlign w:val="bottom"/>
            <w:shd w:val="clear" w:color="auto" w:fill="F1F2F2"/>
          </w:tcPr>
          <w:p>
            <w:pPr>
              <w:spacing w:after="0"/>
              <w:rPr>
                <w:sz w:val="5"/>
                <w:szCs w:val="5"/>
                <w:color w:val="auto"/>
              </w:rPr>
            </w:pPr>
          </w:p>
        </w:tc>
        <w:tc>
          <w:tcPr>
            <w:tcW w:w="480" w:type="dxa"/>
            <w:vAlign w:val="bottom"/>
            <w:shd w:val="clear" w:color="auto" w:fill="F1F2F2"/>
          </w:tcPr>
          <w:p>
            <w:pPr>
              <w:spacing w:after="0"/>
              <w:rPr>
                <w:sz w:val="5"/>
                <w:szCs w:val="5"/>
                <w:color w:val="auto"/>
              </w:rPr>
            </w:pPr>
          </w:p>
        </w:tc>
        <w:tc>
          <w:tcPr>
            <w:tcW w:w="500" w:type="dxa"/>
            <w:vAlign w:val="bottom"/>
            <w:shd w:val="clear" w:color="auto" w:fill="F1F2F2"/>
          </w:tcPr>
          <w:p>
            <w:pPr>
              <w:spacing w:after="0"/>
              <w:rPr>
                <w:sz w:val="5"/>
                <w:szCs w:val="5"/>
                <w:color w:val="auto"/>
              </w:rPr>
            </w:pPr>
          </w:p>
        </w:tc>
        <w:tc>
          <w:tcPr>
            <w:tcW w:w="100" w:type="dxa"/>
            <w:vAlign w:val="bottom"/>
            <w:shd w:val="clear" w:color="auto" w:fill="F1F2F2"/>
          </w:tcPr>
          <w:p>
            <w:pPr>
              <w:spacing w:after="0"/>
              <w:rPr>
                <w:sz w:val="5"/>
                <w:szCs w:val="5"/>
                <w:color w:val="auto"/>
              </w:rPr>
            </w:pPr>
          </w:p>
        </w:tc>
        <w:tc>
          <w:tcPr>
            <w:tcW w:w="380" w:type="dxa"/>
            <w:vAlign w:val="bottom"/>
            <w:shd w:val="clear" w:color="auto" w:fill="F1F2F2"/>
          </w:tcPr>
          <w:p>
            <w:pPr>
              <w:spacing w:after="0"/>
              <w:rPr>
                <w:sz w:val="5"/>
                <w:szCs w:val="5"/>
                <w:color w:val="auto"/>
              </w:rPr>
            </w:pPr>
          </w:p>
        </w:tc>
        <w:tc>
          <w:tcPr>
            <w:tcW w:w="480" w:type="dxa"/>
            <w:vAlign w:val="bottom"/>
            <w:shd w:val="clear" w:color="auto" w:fill="F1F2F2"/>
          </w:tcPr>
          <w:p>
            <w:pPr>
              <w:spacing w:after="0"/>
              <w:rPr>
                <w:sz w:val="5"/>
                <w:szCs w:val="5"/>
                <w:color w:val="auto"/>
              </w:rPr>
            </w:pPr>
          </w:p>
        </w:tc>
        <w:tc>
          <w:tcPr>
            <w:tcW w:w="100" w:type="dxa"/>
            <w:vAlign w:val="bottom"/>
            <w:shd w:val="clear" w:color="auto" w:fill="F1F2F2"/>
          </w:tcPr>
          <w:p>
            <w:pPr>
              <w:spacing w:after="0"/>
              <w:rPr>
                <w:sz w:val="5"/>
                <w:szCs w:val="5"/>
                <w:color w:val="auto"/>
              </w:rPr>
            </w:pPr>
          </w:p>
        </w:tc>
        <w:tc>
          <w:tcPr>
            <w:tcW w:w="400" w:type="dxa"/>
            <w:vAlign w:val="bottom"/>
            <w:shd w:val="clear" w:color="auto" w:fill="F1F2F2"/>
          </w:tcPr>
          <w:p>
            <w:pPr>
              <w:spacing w:after="0"/>
              <w:rPr>
                <w:sz w:val="5"/>
                <w:szCs w:val="5"/>
                <w:color w:val="auto"/>
              </w:rPr>
            </w:pPr>
          </w:p>
        </w:tc>
        <w:tc>
          <w:tcPr>
            <w:tcW w:w="120" w:type="dxa"/>
            <w:vAlign w:val="bottom"/>
            <w:shd w:val="clear" w:color="auto" w:fill="F1F2F2"/>
          </w:tcPr>
          <w:p>
            <w:pPr>
              <w:spacing w:after="0"/>
              <w:rPr>
                <w:sz w:val="5"/>
                <w:szCs w:val="5"/>
                <w:color w:val="auto"/>
              </w:rPr>
            </w:pPr>
          </w:p>
        </w:tc>
        <w:tc>
          <w:tcPr>
            <w:tcW w:w="360" w:type="dxa"/>
            <w:vAlign w:val="bottom"/>
            <w:shd w:val="clear" w:color="auto" w:fill="F1F2F2"/>
          </w:tcPr>
          <w:p>
            <w:pPr>
              <w:spacing w:after="0"/>
              <w:rPr>
                <w:sz w:val="5"/>
                <w:szCs w:val="5"/>
                <w:color w:val="auto"/>
              </w:rPr>
            </w:pPr>
          </w:p>
        </w:tc>
        <w:tc>
          <w:tcPr>
            <w:tcW w:w="140" w:type="dxa"/>
            <w:vAlign w:val="bottom"/>
            <w:shd w:val="clear" w:color="auto" w:fill="F1F2F2"/>
          </w:tcPr>
          <w:p>
            <w:pPr>
              <w:spacing w:after="0"/>
              <w:rPr>
                <w:sz w:val="5"/>
                <w:szCs w:val="5"/>
                <w:color w:val="auto"/>
              </w:rPr>
            </w:pPr>
          </w:p>
        </w:tc>
        <w:tc>
          <w:tcPr>
            <w:tcW w:w="340" w:type="dxa"/>
            <w:vAlign w:val="bottom"/>
            <w:shd w:val="clear" w:color="auto" w:fill="F1F2F2"/>
          </w:tcPr>
          <w:p>
            <w:pPr>
              <w:spacing w:after="0"/>
              <w:rPr>
                <w:sz w:val="5"/>
                <w:szCs w:val="5"/>
                <w:color w:val="auto"/>
              </w:rPr>
            </w:pPr>
          </w:p>
        </w:tc>
        <w:tc>
          <w:tcPr>
            <w:tcW w:w="140" w:type="dxa"/>
            <w:vAlign w:val="bottom"/>
            <w:shd w:val="clear" w:color="auto" w:fill="F1F2F2"/>
          </w:tcPr>
          <w:p>
            <w:pPr>
              <w:spacing w:after="0"/>
              <w:rPr>
                <w:sz w:val="5"/>
                <w:szCs w:val="5"/>
                <w:color w:val="auto"/>
              </w:rPr>
            </w:pPr>
          </w:p>
        </w:tc>
        <w:tc>
          <w:tcPr>
            <w:tcW w:w="360" w:type="dxa"/>
            <w:vAlign w:val="bottom"/>
            <w:shd w:val="clear" w:color="auto" w:fill="F1F2F2"/>
          </w:tcPr>
          <w:p>
            <w:pPr>
              <w:spacing w:after="0"/>
              <w:rPr>
                <w:sz w:val="5"/>
                <w:szCs w:val="5"/>
                <w:color w:val="auto"/>
              </w:rPr>
            </w:pPr>
          </w:p>
        </w:tc>
        <w:tc>
          <w:tcPr>
            <w:tcW w:w="120" w:type="dxa"/>
            <w:vAlign w:val="bottom"/>
            <w:shd w:val="clear" w:color="auto" w:fill="F1F2F2"/>
          </w:tcPr>
          <w:p>
            <w:pPr>
              <w:spacing w:after="0"/>
              <w:rPr>
                <w:sz w:val="5"/>
                <w:szCs w:val="5"/>
                <w:color w:val="auto"/>
              </w:rPr>
            </w:pPr>
          </w:p>
        </w:tc>
        <w:tc>
          <w:tcPr>
            <w:tcW w:w="360" w:type="dxa"/>
            <w:vAlign w:val="bottom"/>
            <w:shd w:val="clear" w:color="auto" w:fill="F1F2F2"/>
          </w:tcPr>
          <w:p>
            <w:pPr>
              <w:spacing w:after="0"/>
              <w:rPr>
                <w:sz w:val="5"/>
                <w:szCs w:val="5"/>
                <w:color w:val="auto"/>
              </w:rPr>
            </w:pPr>
          </w:p>
        </w:tc>
        <w:tc>
          <w:tcPr>
            <w:tcW w:w="140" w:type="dxa"/>
            <w:vAlign w:val="bottom"/>
            <w:shd w:val="clear" w:color="auto" w:fill="F1F2F2"/>
          </w:tcPr>
          <w:p>
            <w:pPr>
              <w:spacing w:after="0"/>
              <w:rPr>
                <w:sz w:val="5"/>
                <w:szCs w:val="5"/>
                <w:color w:val="auto"/>
              </w:rPr>
            </w:pPr>
          </w:p>
        </w:tc>
        <w:tc>
          <w:tcPr>
            <w:tcW w:w="340" w:type="dxa"/>
            <w:vAlign w:val="bottom"/>
            <w:shd w:val="clear" w:color="auto" w:fill="F1F2F2"/>
          </w:tcPr>
          <w:p>
            <w:pPr>
              <w:spacing w:after="0"/>
              <w:rPr>
                <w:sz w:val="5"/>
                <w:szCs w:val="5"/>
                <w:color w:val="auto"/>
              </w:rPr>
            </w:pPr>
          </w:p>
        </w:tc>
        <w:tc>
          <w:tcPr>
            <w:tcW w:w="140" w:type="dxa"/>
            <w:vAlign w:val="bottom"/>
            <w:shd w:val="clear" w:color="auto" w:fill="F1F2F2"/>
          </w:tcPr>
          <w:p>
            <w:pPr>
              <w:spacing w:after="0"/>
              <w:rPr>
                <w:sz w:val="5"/>
                <w:szCs w:val="5"/>
                <w:color w:val="auto"/>
              </w:rPr>
            </w:pPr>
          </w:p>
        </w:tc>
        <w:tc>
          <w:tcPr>
            <w:tcW w:w="360" w:type="dxa"/>
            <w:vAlign w:val="bottom"/>
            <w:shd w:val="clear" w:color="auto" w:fill="F1F2F2"/>
          </w:tcPr>
          <w:p>
            <w:pPr>
              <w:spacing w:after="0"/>
              <w:rPr>
                <w:sz w:val="5"/>
                <w:szCs w:val="5"/>
                <w:color w:val="auto"/>
              </w:rPr>
            </w:pPr>
          </w:p>
        </w:tc>
        <w:tc>
          <w:tcPr>
            <w:tcW w:w="120" w:type="dxa"/>
            <w:vAlign w:val="bottom"/>
            <w:shd w:val="clear" w:color="auto" w:fill="F1F2F2"/>
          </w:tcPr>
          <w:p>
            <w:pPr>
              <w:spacing w:after="0"/>
              <w:rPr>
                <w:sz w:val="5"/>
                <w:szCs w:val="5"/>
                <w:color w:val="auto"/>
              </w:rPr>
            </w:pPr>
          </w:p>
        </w:tc>
        <w:tc>
          <w:tcPr>
            <w:tcW w:w="360" w:type="dxa"/>
            <w:vAlign w:val="bottom"/>
            <w:shd w:val="clear" w:color="auto" w:fill="F1F2F2"/>
          </w:tcPr>
          <w:p>
            <w:pPr>
              <w:spacing w:after="0"/>
              <w:rPr>
                <w:sz w:val="5"/>
                <w:szCs w:val="5"/>
                <w:color w:val="auto"/>
              </w:rPr>
            </w:pPr>
          </w:p>
        </w:tc>
        <w:tc>
          <w:tcPr>
            <w:tcW w:w="140" w:type="dxa"/>
            <w:vAlign w:val="bottom"/>
            <w:shd w:val="clear" w:color="auto" w:fill="F1F2F2"/>
          </w:tcPr>
          <w:p>
            <w:pPr>
              <w:spacing w:after="0"/>
              <w:rPr>
                <w:sz w:val="5"/>
                <w:szCs w:val="5"/>
                <w:color w:val="auto"/>
              </w:rPr>
            </w:pPr>
          </w:p>
        </w:tc>
        <w:tc>
          <w:tcPr>
            <w:tcW w:w="42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F1F2F2"/>
            </w:tcBorders>
            <w:shd w:val="clear" w:color="auto" w:fill="F1F2F2"/>
          </w:tcPr>
          <w:p>
            <w:pPr>
              <w:spacing w:after="0"/>
              <w:rPr>
                <w:sz w:val="16"/>
                <w:szCs w:val="16"/>
                <w:color w:val="auto"/>
              </w:rPr>
            </w:pPr>
          </w:p>
        </w:tc>
        <w:tc>
          <w:tcPr>
            <w:tcW w:w="11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3"/>
                <w:szCs w:val="13"/>
                <w:color w:val="auto"/>
              </w:rPr>
              <w:t>of tax</w:t>
            </w:r>
          </w:p>
        </w:tc>
        <w:tc>
          <w:tcPr>
            <w:tcW w:w="500" w:type="dxa"/>
            <w:vAlign w:val="bottom"/>
            <w:tcBorders>
              <w:bottom w:val="single" w:sz="8" w:color="F1F2F2"/>
            </w:tcBorders>
            <w:shd w:val="clear" w:color="auto" w:fill="F1F2F2"/>
          </w:tcPr>
          <w:p>
            <w:pPr>
              <w:spacing w:after="0"/>
              <w:rPr>
                <w:sz w:val="16"/>
                <w:szCs w:val="16"/>
                <w:color w:val="auto"/>
              </w:rPr>
            </w:pPr>
          </w:p>
        </w:tc>
        <w:tc>
          <w:tcPr>
            <w:tcW w:w="500" w:type="dxa"/>
            <w:vAlign w:val="bottom"/>
            <w:tcBorders>
              <w:bottom w:val="single" w:sz="8" w:color="F1F2F2"/>
            </w:tcBorders>
            <w:shd w:val="clear" w:color="auto" w:fill="F1F2F2"/>
          </w:tcPr>
          <w:p>
            <w:pPr>
              <w:spacing w:after="0"/>
              <w:rPr>
                <w:sz w:val="16"/>
                <w:szCs w:val="16"/>
                <w:color w:val="auto"/>
              </w:rPr>
            </w:pPr>
          </w:p>
        </w:tc>
        <w:tc>
          <w:tcPr>
            <w:tcW w:w="480" w:type="dxa"/>
            <w:vAlign w:val="bottom"/>
            <w:tcBorders>
              <w:bottom w:val="single" w:sz="8" w:color="F1F2F2"/>
            </w:tcBorders>
            <w:shd w:val="clear" w:color="auto" w:fill="F1F2F2"/>
          </w:tcPr>
          <w:p>
            <w:pPr>
              <w:spacing w:after="0"/>
              <w:rPr>
                <w:sz w:val="16"/>
                <w:szCs w:val="16"/>
                <w:color w:val="auto"/>
              </w:rPr>
            </w:pPr>
          </w:p>
        </w:tc>
        <w:tc>
          <w:tcPr>
            <w:tcW w:w="480" w:type="dxa"/>
            <w:vAlign w:val="bottom"/>
            <w:tcBorders>
              <w:bottom w:val="single" w:sz="8" w:color="F1F2F2"/>
            </w:tcBorders>
            <w:shd w:val="clear" w:color="auto" w:fill="F1F2F2"/>
          </w:tcPr>
          <w:p>
            <w:pPr>
              <w:spacing w:after="0"/>
              <w:rPr>
                <w:sz w:val="16"/>
                <w:szCs w:val="16"/>
                <w:color w:val="auto"/>
              </w:rPr>
            </w:pPr>
          </w:p>
        </w:tc>
        <w:tc>
          <w:tcPr>
            <w:tcW w:w="500" w:type="dxa"/>
            <w:vAlign w:val="bottom"/>
            <w:tcBorders>
              <w:bottom w:val="single" w:sz="8" w:color="F1F2F2"/>
            </w:tcBorders>
            <w:shd w:val="clear" w:color="auto" w:fill="F1F2F2"/>
          </w:tcPr>
          <w:p>
            <w:pPr>
              <w:spacing w:after="0"/>
              <w:rPr>
                <w:sz w:val="16"/>
                <w:szCs w:val="16"/>
                <w:color w:val="auto"/>
              </w:rPr>
            </w:pPr>
          </w:p>
        </w:tc>
        <w:tc>
          <w:tcPr>
            <w:tcW w:w="100" w:type="dxa"/>
            <w:vAlign w:val="bottom"/>
            <w:tcBorders>
              <w:bottom w:val="single" w:sz="8" w:color="F1F2F2"/>
            </w:tcBorders>
            <w:shd w:val="clear" w:color="auto" w:fill="F1F2F2"/>
          </w:tcPr>
          <w:p>
            <w:pPr>
              <w:spacing w:after="0"/>
              <w:rPr>
                <w:sz w:val="16"/>
                <w:szCs w:val="16"/>
                <w:color w:val="auto"/>
              </w:rPr>
            </w:pPr>
          </w:p>
        </w:tc>
        <w:tc>
          <w:tcPr>
            <w:tcW w:w="380" w:type="dxa"/>
            <w:vAlign w:val="bottom"/>
            <w:tcBorders>
              <w:bottom w:val="single" w:sz="8" w:color="F1F2F2"/>
            </w:tcBorders>
            <w:shd w:val="clear" w:color="auto" w:fill="F1F2F2"/>
          </w:tcPr>
          <w:p>
            <w:pPr>
              <w:spacing w:after="0"/>
              <w:rPr>
                <w:sz w:val="16"/>
                <w:szCs w:val="16"/>
                <w:color w:val="auto"/>
              </w:rPr>
            </w:pPr>
          </w:p>
        </w:tc>
        <w:tc>
          <w:tcPr>
            <w:tcW w:w="480" w:type="dxa"/>
            <w:vAlign w:val="bottom"/>
            <w:tcBorders>
              <w:bottom w:val="single" w:sz="8" w:color="F1F2F2"/>
            </w:tcBorders>
            <w:shd w:val="clear" w:color="auto" w:fill="F1F2F2"/>
          </w:tcPr>
          <w:p>
            <w:pPr>
              <w:spacing w:after="0"/>
              <w:rPr>
                <w:sz w:val="16"/>
                <w:szCs w:val="16"/>
                <w:color w:val="auto"/>
              </w:rPr>
            </w:pPr>
          </w:p>
        </w:tc>
        <w:tc>
          <w:tcPr>
            <w:tcW w:w="100" w:type="dxa"/>
            <w:vAlign w:val="bottom"/>
            <w:tcBorders>
              <w:bottom w:val="single" w:sz="8" w:color="F1F2F2"/>
            </w:tcBorders>
            <w:shd w:val="clear" w:color="auto" w:fill="F1F2F2"/>
          </w:tcPr>
          <w:p>
            <w:pPr>
              <w:spacing w:after="0"/>
              <w:rPr>
                <w:sz w:val="16"/>
                <w:szCs w:val="16"/>
                <w:color w:val="auto"/>
              </w:rPr>
            </w:pPr>
          </w:p>
        </w:tc>
        <w:tc>
          <w:tcPr>
            <w:tcW w:w="400" w:type="dxa"/>
            <w:vAlign w:val="bottom"/>
            <w:tcBorders>
              <w:bottom w:val="single" w:sz="8" w:color="F1F2F2"/>
            </w:tcBorders>
            <w:shd w:val="clear" w:color="auto" w:fill="F1F2F2"/>
          </w:tcPr>
          <w:p>
            <w:pPr>
              <w:spacing w:after="0"/>
              <w:rPr>
                <w:sz w:val="16"/>
                <w:szCs w:val="16"/>
                <w:color w:val="auto"/>
              </w:rPr>
            </w:pPr>
          </w:p>
        </w:tc>
        <w:tc>
          <w:tcPr>
            <w:tcW w:w="120" w:type="dxa"/>
            <w:vAlign w:val="bottom"/>
            <w:tcBorders>
              <w:bottom w:val="single" w:sz="8" w:color="F1F2F2"/>
            </w:tcBorders>
            <w:shd w:val="clear" w:color="auto" w:fill="F1F2F2"/>
          </w:tcPr>
          <w:p>
            <w:pPr>
              <w:spacing w:after="0"/>
              <w:rPr>
                <w:sz w:val="16"/>
                <w:szCs w:val="16"/>
                <w:color w:val="auto"/>
              </w:rPr>
            </w:pPr>
          </w:p>
        </w:tc>
        <w:tc>
          <w:tcPr>
            <w:tcW w:w="360" w:type="dxa"/>
            <w:vAlign w:val="bottom"/>
            <w:tcBorders>
              <w:bottom w:val="single" w:sz="8" w:color="F1F2F2"/>
            </w:tcBorders>
            <w:shd w:val="clear" w:color="auto" w:fill="F1F2F2"/>
          </w:tcPr>
          <w:p>
            <w:pPr>
              <w:spacing w:after="0"/>
              <w:rPr>
                <w:sz w:val="16"/>
                <w:szCs w:val="16"/>
                <w:color w:val="auto"/>
              </w:rPr>
            </w:pPr>
          </w:p>
        </w:tc>
        <w:tc>
          <w:tcPr>
            <w:tcW w:w="140" w:type="dxa"/>
            <w:vAlign w:val="bottom"/>
            <w:tcBorders>
              <w:bottom w:val="single" w:sz="8" w:color="F1F2F2"/>
            </w:tcBorders>
            <w:shd w:val="clear" w:color="auto" w:fill="F1F2F2"/>
          </w:tcPr>
          <w:p>
            <w:pPr>
              <w:spacing w:after="0"/>
              <w:rPr>
                <w:sz w:val="16"/>
                <w:szCs w:val="16"/>
                <w:color w:val="auto"/>
              </w:rPr>
            </w:pPr>
          </w:p>
        </w:tc>
        <w:tc>
          <w:tcPr>
            <w:tcW w:w="340" w:type="dxa"/>
            <w:vAlign w:val="bottom"/>
            <w:tcBorders>
              <w:bottom w:val="single" w:sz="8" w:color="F1F2F2"/>
            </w:tcBorders>
            <w:shd w:val="clear" w:color="auto" w:fill="F1F2F2"/>
          </w:tcPr>
          <w:p>
            <w:pPr>
              <w:spacing w:after="0"/>
              <w:rPr>
                <w:sz w:val="16"/>
                <w:szCs w:val="16"/>
                <w:color w:val="auto"/>
              </w:rPr>
            </w:pPr>
          </w:p>
        </w:tc>
        <w:tc>
          <w:tcPr>
            <w:tcW w:w="140" w:type="dxa"/>
            <w:vAlign w:val="bottom"/>
            <w:tcBorders>
              <w:bottom w:val="single" w:sz="8" w:color="F1F2F2"/>
            </w:tcBorders>
            <w:shd w:val="clear" w:color="auto" w:fill="F1F2F2"/>
          </w:tcPr>
          <w:p>
            <w:pPr>
              <w:spacing w:after="0"/>
              <w:rPr>
                <w:sz w:val="16"/>
                <w:szCs w:val="16"/>
                <w:color w:val="auto"/>
              </w:rPr>
            </w:pPr>
          </w:p>
        </w:tc>
        <w:tc>
          <w:tcPr>
            <w:tcW w:w="360" w:type="dxa"/>
            <w:vAlign w:val="bottom"/>
            <w:tcBorders>
              <w:bottom w:val="single" w:sz="8" w:color="F1F2F2"/>
            </w:tcBorders>
            <w:shd w:val="clear" w:color="auto" w:fill="F1F2F2"/>
          </w:tcPr>
          <w:p>
            <w:pPr>
              <w:spacing w:after="0"/>
              <w:rPr>
                <w:sz w:val="16"/>
                <w:szCs w:val="16"/>
                <w:color w:val="auto"/>
              </w:rPr>
            </w:pPr>
          </w:p>
        </w:tc>
        <w:tc>
          <w:tcPr>
            <w:tcW w:w="120" w:type="dxa"/>
            <w:vAlign w:val="bottom"/>
            <w:tcBorders>
              <w:bottom w:val="single" w:sz="8" w:color="F1F2F2"/>
            </w:tcBorders>
            <w:shd w:val="clear" w:color="auto" w:fill="F1F2F2"/>
          </w:tcPr>
          <w:p>
            <w:pPr>
              <w:spacing w:after="0"/>
              <w:rPr>
                <w:sz w:val="16"/>
                <w:szCs w:val="16"/>
                <w:color w:val="auto"/>
              </w:rPr>
            </w:pPr>
          </w:p>
        </w:tc>
        <w:tc>
          <w:tcPr>
            <w:tcW w:w="360" w:type="dxa"/>
            <w:vAlign w:val="bottom"/>
            <w:tcBorders>
              <w:bottom w:val="single" w:sz="8" w:color="F1F2F2"/>
            </w:tcBorders>
            <w:shd w:val="clear" w:color="auto" w:fill="F1F2F2"/>
          </w:tcPr>
          <w:p>
            <w:pPr>
              <w:spacing w:after="0"/>
              <w:rPr>
                <w:sz w:val="16"/>
                <w:szCs w:val="16"/>
                <w:color w:val="auto"/>
              </w:rPr>
            </w:pPr>
          </w:p>
        </w:tc>
        <w:tc>
          <w:tcPr>
            <w:tcW w:w="140" w:type="dxa"/>
            <w:vAlign w:val="bottom"/>
            <w:tcBorders>
              <w:bottom w:val="single" w:sz="8" w:color="F1F2F2"/>
            </w:tcBorders>
            <w:shd w:val="clear" w:color="auto" w:fill="F1F2F2"/>
          </w:tcPr>
          <w:p>
            <w:pPr>
              <w:spacing w:after="0"/>
              <w:rPr>
                <w:sz w:val="16"/>
                <w:szCs w:val="16"/>
                <w:color w:val="auto"/>
              </w:rPr>
            </w:pPr>
          </w:p>
        </w:tc>
        <w:tc>
          <w:tcPr>
            <w:tcW w:w="340" w:type="dxa"/>
            <w:vAlign w:val="bottom"/>
            <w:tcBorders>
              <w:bottom w:val="single" w:sz="8" w:color="F1F2F2"/>
            </w:tcBorders>
            <w:shd w:val="clear" w:color="auto" w:fill="F1F2F2"/>
          </w:tcPr>
          <w:p>
            <w:pPr>
              <w:spacing w:after="0"/>
              <w:rPr>
                <w:sz w:val="16"/>
                <w:szCs w:val="16"/>
                <w:color w:val="auto"/>
              </w:rPr>
            </w:pPr>
          </w:p>
        </w:tc>
        <w:tc>
          <w:tcPr>
            <w:tcW w:w="140" w:type="dxa"/>
            <w:vAlign w:val="bottom"/>
            <w:tcBorders>
              <w:bottom w:val="single" w:sz="8" w:color="F1F2F2"/>
            </w:tcBorders>
            <w:shd w:val="clear" w:color="auto" w:fill="F1F2F2"/>
          </w:tcPr>
          <w:p>
            <w:pPr>
              <w:spacing w:after="0"/>
              <w:rPr>
                <w:sz w:val="16"/>
                <w:szCs w:val="16"/>
                <w:color w:val="auto"/>
              </w:rPr>
            </w:pPr>
          </w:p>
        </w:tc>
        <w:tc>
          <w:tcPr>
            <w:tcW w:w="360" w:type="dxa"/>
            <w:vAlign w:val="bottom"/>
            <w:tcBorders>
              <w:bottom w:val="single" w:sz="8" w:color="F1F2F2"/>
            </w:tcBorders>
            <w:shd w:val="clear" w:color="auto" w:fill="F1F2F2"/>
          </w:tcPr>
          <w:p>
            <w:pPr>
              <w:spacing w:after="0"/>
              <w:rPr>
                <w:sz w:val="16"/>
                <w:szCs w:val="16"/>
                <w:color w:val="auto"/>
              </w:rPr>
            </w:pPr>
          </w:p>
        </w:tc>
        <w:tc>
          <w:tcPr>
            <w:tcW w:w="120" w:type="dxa"/>
            <w:vAlign w:val="bottom"/>
            <w:tcBorders>
              <w:bottom w:val="single" w:sz="8" w:color="F1F2F2"/>
            </w:tcBorders>
            <w:shd w:val="clear" w:color="auto" w:fill="F1F2F2"/>
          </w:tcPr>
          <w:p>
            <w:pPr>
              <w:spacing w:after="0"/>
              <w:rPr>
                <w:sz w:val="16"/>
                <w:szCs w:val="16"/>
                <w:color w:val="auto"/>
              </w:rPr>
            </w:pPr>
          </w:p>
        </w:tc>
        <w:tc>
          <w:tcPr>
            <w:tcW w:w="360" w:type="dxa"/>
            <w:vAlign w:val="bottom"/>
            <w:tcBorders>
              <w:bottom w:val="single" w:sz="8" w:color="F1F2F2"/>
            </w:tcBorders>
            <w:shd w:val="clear" w:color="auto" w:fill="F1F2F2"/>
          </w:tcPr>
          <w:p>
            <w:pPr>
              <w:spacing w:after="0"/>
              <w:rPr>
                <w:sz w:val="16"/>
                <w:szCs w:val="16"/>
                <w:color w:val="auto"/>
              </w:rPr>
            </w:pPr>
          </w:p>
        </w:tc>
        <w:tc>
          <w:tcPr>
            <w:tcW w:w="140" w:type="dxa"/>
            <w:vAlign w:val="bottom"/>
            <w:tcBorders>
              <w:bottom w:val="single" w:sz="8" w:color="F1F2F2"/>
            </w:tcBorders>
            <w:shd w:val="clear" w:color="auto" w:fill="F1F2F2"/>
          </w:tcPr>
          <w:p>
            <w:pPr>
              <w:spacing w:after="0"/>
              <w:rPr>
                <w:sz w:val="16"/>
                <w:szCs w:val="16"/>
                <w:color w:val="auto"/>
              </w:rPr>
            </w:pPr>
          </w:p>
        </w:tc>
        <w:tc>
          <w:tcPr>
            <w:tcW w:w="420" w:type="dxa"/>
            <w:vAlign w:val="bottom"/>
            <w:tcBorders>
              <w:bottom w:val="single" w:sz="8" w:color="F1F2F2"/>
            </w:tcBorders>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Other non-cash</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500" w:type="dxa"/>
            <w:vAlign w:val="bottom"/>
            <w:vMerge w:val="restart"/>
          </w:tcPr>
          <w:p>
            <w:pPr>
              <w:jc w:val="right"/>
              <w:ind w:right="16"/>
              <w:spacing w:after="0"/>
              <w:rPr>
                <w:sz w:val="20"/>
                <w:szCs w:val="20"/>
                <w:color w:val="auto"/>
              </w:rPr>
            </w:pPr>
            <w:r>
              <w:rPr>
                <w:rFonts w:ascii="Arial" w:cs="Arial" w:eastAsia="Arial" w:hAnsi="Arial"/>
                <w:sz w:val="13"/>
                <w:szCs w:val="13"/>
                <w:color w:val="auto"/>
              </w:rPr>
              <w:t>24</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500" w:type="dxa"/>
            <w:vAlign w:val="bottom"/>
            <w:vMerge w:val="restart"/>
          </w:tcPr>
          <w:p>
            <w:pPr>
              <w:jc w:val="right"/>
              <w:ind w:right="16"/>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480" w:type="dxa"/>
            <w:vAlign w:val="bottom"/>
            <w:vMerge w:val="restart"/>
          </w:tcPr>
          <w:p>
            <w:pPr>
              <w:jc w:val="right"/>
              <w:ind w:right="16"/>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8"/>
                <w:szCs w:val="18"/>
                <w:color w:val="auto"/>
              </w:rPr>
            </w:pPr>
          </w:p>
        </w:tc>
        <w:tc>
          <w:tcPr>
            <w:tcW w:w="400" w:type="dxa"/>
            <w:vAlign w:val="bottom"/>
            <w:vMerge w:val="restart"/>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8"/>
                <w:szCs w:val="18"/>
                <w:color w:val="auto"/>
              </w:rPr>
            </w:pPr>
          </w:p>
        </w:tc>
        <w:tc>
          <w:tcPr>
            <w:tcW w:w="4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100" w:type="dxa"/>
            <w:vAlign w:val="bottom"/>
            <w:vMerge w:val="restart"/>
          </w:tcPr>
          <w:p>
            <w:pPr>
              <w:ind w:left="160"/>
              <w:spacing w:after="0"/>
              <w:rPr>
                <w:sz w:val="20"/>
                <w:szCs w:val="20"/>
                <w:color w:val="auto"/>
              </w:rPr>
            </w:pPr>
            <w:r>
              <w:rPr>
                <w:rFonts w:ascii="Arial" w:cs="Arial" w:eastAsia="Arial" w:hAnsi="Arial"/>
                <w:sz w:val="13"/>
                <w:szCs w:val="13"/>
                <w:color w:val="auto"/>
              </w:rPr>
              <w:t>adjustments</w:t>
            </w:r>
          </w:p>
        </w:tc>
        <w:tc>
          <w:tcPr>
            <w:tcW w:w="5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F1F2F2"/>
            </w:tcBorders>
          </w:tcPr>
          <w:p>
            <w:pPr>
              <w:spacing w:after="0"/>
              <w:rPr>
                <w:sz w:val="4"/>
                <w:szCs w:val="4"/>
                <w:color w:val="auto"/>
              </w:rPr>
            </w:pPr>
          </w:p>
        </w:tc>
        <w:tc>
          <w:tcPr>
            <w:tcW w:w="1100" w:type="dxa"/>
            <w:vAlign w:val="bottom"/>
            <w:tcBorders>
              <w:bottom w:val="single" w:sz="8" w:color="F1F2F2"/>
            </w:tcBorders>
          </w:tcPr>
          <w:p>
            <w:pPr>
              <w:spacing w:after="0"/>
              <w:rPr>
                <w:sz w:val="4"/>
                <w:szCs w:val="4"/>
                <w:color w:val="auto"/>
              </w:rPr>
            </w:pPr>
          </w:p>
        </w:tc>
        <w:tc>
          <w:tcPr>
            <w:tcW w:w="500" w:type="dxa"/>
            <w:vAlign w:val="bottom"/>
            <w:tcBorders>
              <w:bottom w:val="single" w:sz="8" w:color="C43776"/>
            </w:tcBorders>
          </w:tcPr>
          <w:p>
            <w:pPr>
              <w:spacing w:after="0"/>
              <w:rPr>
                <w:sz w:val="4"/>
                <w:szCs w:val="4"/>
                <w:color w:val="auto"/>
              </w:rPr>
            </w:pPr>
          </w:p>
        </w:tc>
        <w:tc>
          <w:tcPr>
            <w:tcW w:w="50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500" w:type="dxa"/>
            <w:vAlign w:val="bottom"/>
            <w:tcBorders>
              <w:bottom w:val="single" w:sz="8" w:color="C43776"/>
            </w:tcBorders>
          </w:tcPr>
          <w:p>
            <w:pPr>
              <w:spacing w:after="0"/>
              <w:rPr>
                <w:sz w:val="4"/>
                <w:szCs w:val="4"/>
                <w:color w:val="auto"/>
              </w:rPr>
            </w:pPr>
          </w:p>
        </w:tc>
        <w:tc>
          <w:tcPr>
            <w:tcW w:w="100" w:type="dxa"/>
            <w:vAlign w:val="bottom"/>
            <w:tcBorders>
              <w:bottom w:val="single" w:sz="8" w:color="C43776"/>
            </w:tcBorders>
          </w:tcPr>
          <w:p>
            <w:pPr>
              <w:spacing w:after="0"/>
              <w:rPr>
                <w:sz w:val="4"/>
                <w:szCs w:val="4"/>
                <w:color w:val="auto"/>
              </w:rPr>
            </w:pPr>
          </w:p>
        </w:tc>
        <w:tc>
          <w:tcPr>
            <w:tcW w:w="380" w:type="dxa"/>
            <w:vAlign w:val="bottom"/>
            <w:tcBorders>
              <w:bottom w:val="single" w:sz="8" w:color="C43776"/>
            </w:tcBorders>
          </w:tcPr>
          <w:p>
            <w:pPr>
              <w:spacing w:after="0"/>
              <w:rPr>
                <w:sz w:val="4"/>
                <w:szCs w:val="4"/>
                <w:color w:val="auto"/>
              </w:rPr>
            </w:pPr>
          </w:p>
        </w:tc>
        <w:tc>
          <w:tcPr>
            <w:tcW w:w="480" w:type="dxa"/>
            <w:vAlign w:val="bottom"/>
            <w:tcBorders>
              <w:bottom w:val="single" w:sz="8" w:color="C43776"/>
            </w:tcBorders>
          </w:tcPr>
          <w:p>
            <w:pPr>
              <w:spacing w:after="0"/>
              <w:rPr>
                <w:sz w:val="4"/>
                <w:szCs w:val="4"/>
                <w:color w:val="auto"/>
              </w:rPr>
            </w:pPr>
          </w:p>
        </w:tc>
        <w:tc>
          <w:tcPr>
            <w:tcW w:w="100" w:type="dxa"/>
            <w:vAlign w:val="bottom"/>
            <w:tcBorders>
              <w:bottom w:val="single" w:sz="8" w:color="C43776"/>
            </w:tcBorders>
          </w:tcPr>
          <w:p>
            <w:pPr>
              <w:spacing w:after="0"/>
              <w:rPr>
                <w:sz w:val="4"/>
                <w:szCs w:val="4"/>
                <w:color w:val="auto"/>
              </w:rPr>
            </w:pPr>
          </w:p>
        </w:tc>
        <w:tc>
          <w:tcPr>
            <w:tcW w:w="400" w:type="dxa"/>
            <w:vAlign w:val="bottom"/>
            <w:tcBorders>
              <w:bottom w:val="single" w:sz="8" w:color="C43776"/>
            </w:tcBorders>
          </w:tcPr>
          <w:p>
            <w:pPr>
              <w:spacing w:after="0"/>
              <w:rPr>
                <w:sz w:val="4"/>
                <w:szCs w:val="4"/>
                <w:color w:val="auto"/>
              </w:rPr>
            </w:pPr>
          </w:p>
        </w:tc>
        <w:tc>
          <w:tcPr>
            <w:tcW w:w="120" w:type="dxa"/>
            <w:vAlign w:val="bottom"/>
            <w:tcBorders>
              <w:bottom w:val="single" w:sz="8" w:color="C43776"/>
            </w:tcBorders>
          </w:tcPr>
          <w:p>
            <w:pPr>
              <w:spacing w:after="0"/>
              <w:rPr>
                <w:sz w:val="4"/>
                <w:szCs w:val="4"/>
                <w:color w:val="auto"/>
              </w:rPr>
            </w:pPr>
          </w:p>
        </w:tc>
        <w:tc>
          <w:tcPr>
            <w:tcW w:w="360" w:type="dxa"/>
            <w:vAlign w:val="bottom"/>
            <w:tcBorders>
              <w:bottom w:val="single" w:sz="8" w:color="C43776"/>
            </w:tcBorders>
          </w:tcPr>
          <w:p>
            <w:pPr>
              <w:spacing w:after="0"/>
              <w:rPr>
                <w:sz w:val="4"/>
                <w:szCs w:val="4"/>
                <w:color w:val="auto"/>
              </w:rPr>
            </w:pPr>
          </w:p>
        </w:tc>
        <w:tc>
          <w:tcPr>
            <w:tcW w:w="140" w:type="dxa"/>
            <w:vAlign w:val="bottom"/>
            <w:tcBorders>
              <w:bottom w:val="single" w:sz="8" w:color="C43776"/>
            </w:tcBorders>
          </w:tcPr>
          <w:p>
            <w:pPr>
              <w:spacing w:after="0"/>
              <w:rPr>
                <w:sz w:val="4"/>
                <w:szCs w:val="4"/>
                <w:color w:val="auto"/>
              </w:rPr>
            </w:pPr>
          </w:p>
        </w:tc>
        <w:tc>
          <w:tcPr>
            <w:tcW w:w="340" w:type="dxa"/>
            <w:vAlign w:val="bottom"/>
            <w:tcBorders>
              <w:bottom w:val="single" w:sz="8" w:color="C43776"/>
            </w:tcBorders>
          </w:tcPr>
          <w:p>
            <w:pPr>
              <w:spacing w:after="0"/>
              <w:rPr>
                <w:sz w:val="4"/>
                <w:szCs w:val="4"/>
                <w:color w:val="auto"/>
              </w:rPr>
            </w:pPr>
          </w:p>
        </w:tc>
        <w:tc>
          <w:tcPr>
            <w:tcW w:w="140" w:type="dxa"/>
            <w:vAlign w:val="bottom"/>
            <w:tcBorders>
              <w:bottom w:val="single" w:sz="8" w:color="C43776"/>
            </w:tcBorders>
          </w:tcPr>
          <w:p>
            <w:pPr>
              <w:spacing w:after="0"/>
              <w:rPr>
                <w:sz w:val="4"/>
                <w:szCs w:val="4"/>
                <w:color w:val="auto"/>
              </w:rPr>
            </w:pPr>
          </w:p>
        </w:tc>
        <w:tc>
          <w:tcPr>
            <w:tcW w:w="360" w:type="dxa"/>
            <w:vAlign w:val="bottom"/>
            <w:tcBorders>
              <w:bottom w:val="single" w:sz="8" w:color="C43776"/>
            </w:tcBorders>
          </w:tcPr>
          <w:p>
            <w:pPr>
              <w:spacing w:after="0"/>
              <w:rPr>
                <w:sz w:val="4"/>
                <w:szCs w:val="4"/>
                <w:color w:val="auto"/>
              </w:rPr>
            </w:pPr>
          </w:p>
        </w:tc>
        <w:tc>
          <w:tcPr>
            <w:tcW w:w="120" w:type="dxa"/>
            <w:vAlign w:val="bottom"/>
            <w:tcBorders>
              <w:bottom w:val="single" w:sz="8" w:color="C43776"/>
            </w:tcBorders>
          </w:tcPr>
          <w:p>
            <w:pPr>
              <w:spacing w:after="0"/>
              <w:rPr>
                <w:sz w:val="4"/>
                <w:szCs w:val="4"/>
                <w:color w:val="auto"/>
              </w:rPr>
            </w:pPr>
          </w:p>
        </w:tc>
        <w:tc>
          <w:tcPr>
            <w:tcW w:w="360" w:type="dxa"/>
            <w:vAlign w:val="bottom"/>
            <w:tcBorders>
              <w:bottom w:val="single" w:sz="8" w:color="C43776"/>
            </w:tcBorders>
          </w:tcPr>
          <w:p>
            <w:pPr>
              <w:spacing w:after="0"/>
              <w:rPr>
                <w:sz w:val="4"/>
                <w:szCs w:val="4"/>
                <w:color w:val="auto"/>
              </w:rPr>
            </w:pPr>
          </w:p>
        </w:tc>
        <w:tc>
          <w:tcPr>
            <w:tcW w:w="140" w:type="dxa"/>
            <w:vAlign w:val="bottom"/>
            <w:tcBorders>
              <w:bottom w:val="single" w:sz="8" w:color="C43776"/>
            </w:tcBorders>
          </w:tcPr>
          <w:p>
            <w:pPr>
              <w:spacing w:after="0"/>
              <w:rPr>
                <w:sz w:val="4"/>
                <w:szCs w:val="4"/>
                <w:color w:val="auto"/>
              </w:rPr>
            </w:pPr>
          </w:p>
        </w:tc>
        <w:tc>
          <w:tcPr>
            <w:tcW w:w="340" w:type="dxa"/>
            <w:vAlign w:val="bottom"/>
            <w:tcBorders>
              <w:bottom w:val="single" w:sz="8" w:color="C43776"/>
            </w:tcBorders>
          </w:tcPr>
          <w:p>
            <w:pPr>
              <w:spacing w:after="0"/>
              <w:rPr>
                <w:sz w:val="4"/>
                <w:szCs w:val="4"/>
                <w:color w:val="auto"/>
              </w:rPr>
            </w:pPr>
          </w:p>
        </w:tc>
        <w:tc>
          <w:tcPr>
            <w:tcW w:w="140" w:type="dxa"/>
            <w:vAlign w:val="bottom"/>
            <w:tcBorders>
              <w:bottom w:val="single" w:sz="8" w:color="C43776"/>
            </w:tcBorders>
          </w:tcPr>
          <w:p>
            <w:pPr>
              <w:spacing w:after="0"/>
              <w:rPr>
                <w:sz w:val="4"/>
                <w:szCs w:val="4"/>
                <w:color w:val="auto"/>
              </w:rPr>
            </w:pPr>
          </w:p>
        </w:tc>
        <w:tc>
          <w:tcPr>
            <w:tcW w:w="360" w:type="dxa"/>
            <w:vAlign w:val="bottom"/>
            <w:tcBorders>
              <w:bottom w:val="single" w:sz="8" w:color="C43776"/>
            </w:tcBorders>
          </w:tcPr>
          <w:p>
            <w:pPr>
              <w:spacing w:after="0"/>
              <w:rPr>
                <w:sz w:val="4"/>
                <w:szCs w:val="4"/>
                <w:color w:val="auto"/>
              </w:rPr>
            </w:pPr>
          </w:p>
        </w:tc>
        <w:tc>
          <w:tcPr>
            <w:tcW w:w="120" w:type="dxa"/>
            <w:vAlign w:val="bottom"/>
            <w:tcBorders>
              <w:bottom w:val="single" w:sz="8" w:color="C43776"/>
            </w:tcBorders>
          </w:tcPr>
          <w:p>
            <w:pPr>
              <w:spacing w:after="0"/>
              <w:rPr>
                <w:sz w:val="4"/>
                <w:szCs w:val="4"/>
                <w:color w:val="auto"/>
              </w:rPr>
            </w:pPr>
          </w:p>
        </w:tc>
        <w:tc>
          <w:tcPr>
            <w:tcW w:w="360" w:type="dxa"/>
            <w:vAlign w:val="bottom"/>
            <w:tcBorders>
              <w:bottom w:val="single" w:sz="8" w:color="C43776"/>
            </w:tcBorders>
          </w:tcPr>
          <w:p>
            <w:pPr>
              <w:spacing w:after="0"/>
              <w:rPr>
                <w:sz w:val="4"/>
                <w:szCs w:val="4"/>
                <w:color w:val="auto"/>
              </w:rPr>
            </w:pPr>
          </w:p>
        </w:tc>
        <w:tc>
          <w:tcPr>
            <w:tcW w:w="140" w:type="dxa"/>
            <w:vAlign w:val="bottom"/>
            <w:tcBorders>
              <w:bottom w:val="single" w:sz="8" w:color="C43776"/>
            </w:tcBorders>
          </w:tcPr>
          <w:p>
            <w:pPr>
              <w:spacing w:after="0"/>
              <w:rPr>
                <w:sz w:val="4"/>
                <w:szCs w:val="4"/>
                <w:color w:val="auto"/>
              </w:rPr>
            </w:pPr>
          </w:p>
        </w:tc>
        <w:tc>
          <w:tcPr>
            <w:tcW w:w="420" w:type="dxa"/>
            <w:vAlign w:val="bottom"/>
            <w:tcBorders>
              <w:bottom w:val="single" w:sz="8" w:color="C43776"/>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100" w:type="dxa"/>
            <w:vAlign w:val="bottom"/>
            <w:shd w:val="clear" w:color="auto" w:fill="F1F2F2"/>
          </w:tcPr>
          <w:p>
            <w:pPr>
              <w:spacing w:after="0"/>
              <w:rPr>
                <w:sz w:val="13"/>
                <w:szCs w:val="13"/>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Total pre-tax</w:t>
            </w:r>
          </w:p>
        </w:tc>
        <w:tc>
          <w:tcPr>
            <w:tcW w:w="5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515</w:t>
            </w:r>
          </w:p>
        </w:tc>
        <w:tc>
          <w:tcPr>
            <w:tcW w:w="500" w:type="dxa"/>
            <w:vAlign w:val="bottom"/>
            <w:vMerge w:val="restart"/>
            <w:shd w:val="clear" w:color="auto" w:fill="F1F2F2"/>
          </w:tcPr>
          <w:p>
            <w:pPr>
              <w:jc w:val="right"/>
              <w:ind w:right="16"/>
              <w:spacing w:after="0"/>
              <w:rPr>
                <w:sz w:val="20"/>
                <w:szCs w:val="20"/>
                <w:color w:val="auto"/>
              </w:rPr>
            </w:pPr>
            <w:r>
              <w:rPr>
                <w:rFonts w:ascii="Arial" w:cs="Arial" w:eastAsia="Arial" w:hAnsi="Arial"/>
                <w:sz w:val="13"/>
                <w:szCs w:val="13"/>
                <w:color w:val="auto"/>
              </w:rPr>
              <w:t>392</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373</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393</w:t>
            </w:r>
          </w:p>
        </w:tc>
        <w:tc>
          <w:tcPr>
            <w:tcW w:w="500" w:type="dxa"/>
            <w:vAlign w:val="bottom"/>
            <w:vMerge w:val="restart"/>
            <w:shd w:val="clear" w:color="auto" w:fill="F1F2F2"/>
          </w:tcPr>
          <w:p>
            <w:pPr>
              <w:jc w:val="right"/>
              <w:ind w:right="16"/>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F1F2F2"/>
          </w:tcPr>
          <w:p>
            <w:pPr>
              <w:spacing w:after="0"/>
              <w:rPr>
                <w:sz w:val="13"/>
                <w:szCs w:val="13"/>
                <w:color w:val="auto"/>
              </w:rPr>
            </w:pPr>
          </w:p>
        </w:tc>
        <w:tc>
          <w:tcPr>
            <w:tcW w:w="3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316</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F1F2F2"/>
          </w:tcPr>
          <w:p>
            <w:pPr>
              <w:spacing w:after="0"/>
              <w:rPr>
                <w:sz w:val="13"/>
                <w:szCs w:val="13"/>
                <w:color w:val="auto"/>
              </w:rPr>
            </w:pPr>
          </w:p>
        </w:tc>
        <w:tc>
          <w:tcPr>
            <w:tcW w:w="40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F1F2F2"/>
          </w:tcPr>
          <w:p>
            <w:pPr>
              <w:spacing w:after="0"/>
              <w:rPr>
                <w:sz w:val="13"/>
                <w:szCs w:val="13"/>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279</w:t>
            </w:r>
          </w:p>
        </w:tc>
        <w:tc>
          <w:tcPr>
            <w:tcW w:w="140" w:type="dxa"/>
            <w:vAlign w:val="bottom"/>
            <w:shd w:val="clear" w:color="auto" w:fill="F1F2F2"/>
          </w:tcPr>
          <w:p>
            <w:pPr>
              <w:spacing w:after="0"/>
              <w:rPr>
                <w:sz w:val="13"/>
                <w:szCs w:val="13"/>
                <w:color w:val="auto"/>
              </w:rPr>
            </w:pP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274</w:t>
            </w:r>
          </w:p>
        </w:tc>
        <w:tc>
          <w:tcPr>
            <w:tcW w:w="140" w:type="dxa"/>
            <w:vAlign w:val="bottom"/>
            <w:shd w:val="clear" w:color="auto" w:fill="F1F2F2"/>
          </w:tcPr>
          <w:p>
            <w:pPr>
              <w:spacing w:after="0"/>
              <w:rPr>
                <w:sz w:val="13"/>
                <w:szCs w:val="13"/>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F1F2F2"/>
          </w:tcPr>
          <w:p>
            <w:pPr>
              <w:spacing w:after="0"/>
              <w:rPr>
                <w:sz w:val="13"/>
                <w:szCs w:val="13"/>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125</w:t>
            </w:r>
          </w:p>
        </w:tc>
        <w:tc>
          <w:tcPr>
            <w:tcW w:w="140" w:type="dxa"/>
            <w:vAlign w:val="bottom"/>
            <w:shd w:val="clear" w:color="auto" w:fill="F1F2F2"/>
          </w:tcPr>
          <w:p>
            <w:pPr>
              <w:spacing w:after="0"/>
              <w:rPr>
                <w:sz w:val="13"/>
                <w:szCs w:val="13"/>
                <w:color w:val="auto"/>
              </w:rPr>
            </w:pP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83</w:t>
            </w:r>
          </w:p>
        </w:tc>
        <w:tc>
          <w:tcPr>
            <w:tcW w:w="140" w:type="dxa"/>
            <w:vAlign w:val="bottom"/>
            <w:shd w:val="clear" w:color="auto" w:fill="F1F2F2"/>
          </w:tcPr>
          <w:p>
            <w:pPr>
              <w:spacing w:after="0"/>
              <w:rPr>
                <w:sz w:val="13"/>
                <w:szCs w:val="13"/>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57</w:t>
            </w:r>
          </w:p>
        </w:tc>
        <w:tc>
          <w:tcPr>
            <w:tcW w:w="120" w:type="dxa"/>
            <w:vAlign w:val="bottom"/>
            <w:shd w:val="clear" w:color="auto" w:fill="F1F2F2"/>
          </w:tcPr>
          <w:p>
            <w:pPr>
              <w:spacing w:after="0"/>
              <w:rPr>
                <w:sz w:val="13"/>
                <w:szCs w:val="13"/>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49</w:t>
            </w:r>
          </w:p>
        </w:tc>
        <w:tc>
          <w:tcPr>
            <w:tcW w:w="140" w:type="dxa"/>
            <w:vAlign w:val="bottom"/>
            <w:shd w:val="clear" w:color="auto" w:fill="F1F2F2"/>
          </w:tcPr>
          <w:p>
            <w:pPr>
              <w:spacing w:after="0"/>
              <w:rPr>
                <w:sz w:val="13"/>
                <w:szCs w:val="13"/>
                <w:color w:val="auto"/>
              </w:rPr>
            </w:pPr>
          </w:p>
        </w:tc>
        <w:tc>
          <w:tcPr>
            <w:tcW w:w="420" w:type="dxa"/>
            <w:vAlign w:val="bottom"/>
            <w:vMerge w:val="restart"/>
            <w:shd w:val="clear" w:color="auto" w:fill="F1F2F2"/>
          </w:tcPr>
          <w:p>
            <w:pPr>
              <w:jc w:val="right"/>
              <w:ind w:right="77"/>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93"/>
        </w:trPr>
        <w:tc>
          <w:tcPr>
            <w:tcW w:w="100" w:type="dxa"/>
            <w:vAlign w:val="bottom"/>
            <w:shd w:val="clear" w:color="auto" w:fill="F1F2F2"/>
          </w:tcPr>
          <w:p>
            <w:pPr>
              <w:spacing w:after="0"/>
              <w:rPr>
                <w:sz w:val="16"/>
                <w:szCs w:val="16"/>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adjustments</w:t>
            </w:r>
            <w:r>
              <w:rPr>
                <w:rFonts w:ascii="Arial" w:cs="Arial" w:eastAsia="Arial" w:hAnsi="Arial"/>
                <w:sz w:val="16"/>
                <w:szCs w:val="16"/>
                <w:color w:val="auto"/>
                <w:vertAlign w:val="superscript"/>
              </w:rPr>
              <w:t>(2)</w:t>
            </w:r>
          </w:p>
        </w:tc>
        <w:tc>
          <w:tcPr>
            <w:tcW w:w="500" w:type="dxa"/>
            <w:vAlign w:val="bottom"/>
            <w:vMerge w:val="continue"/>
            <w:shd w:val="clear" w:color="auto" w:fill="F1F2F2"/>
          </w:tcPr>
          <w:p>
            <w:pPr>
              <w:spacing w:after="0"/>
              <w:rPr>
                <w:sz w:val="16"/>
                <w:szCs w:val="16"/>
                <w:color w:val="auto"/>
              </w:rPr>
            </w:pPr>
          </w:p>
        </w:tc>
        <w:tc>
          <w:tcPr>
            <w:tcW w:w="500" w:type="dxa"/>
            <w:vAlign w:val="bottom"/>
            <w:vMerge w:val="continue"/>
            <w:shd w:val="clear" w:color="auto" w:fill="F1F2F2"/>
          </w:tcPr>
          <w:p>
            <w:pPr>
              <w:spacing w:after="0"/>
              <w:rPr>
                <w:sz w:val="16"/>
                <w:szCs w:val="16"/>
                <w:color w:val="auto"/>
              </w:rPr>
            </w:pPr>
          </w:p>
        </w:tc>
        <w:tc>
          <w:tcPr>
            <w:tcW w:w="480" w:type="dxa"/>
            <w:vAlign w:val="bottom"/>
            <w:vMerge w:val="continue"/>
            <w:shd w:val="clear" w:color="auto" w:fill="F1F2F2"/>
          </w:tcPr>
          <w:p>
            <w:pPr>
              <w:spacing w:after="0"/>
              <w:rPr>
                <w:sz w:val="16"/>
                <w:szCs w:val="16"/>
                <w:color w:val="auto"/>
              </w:rPr>
            </w:pPr>
          </w:p>
        </w:tc>
        <w:tc>
          <w:tcPr>
            <w:tcW w:w="480" w:type="dxa"/>
            <w:vAlign w:val="bottom"/>
            <w:vMerge w:val="continue"/>
            <w:shd w:val="clear" w:color="auto" w:fill="F1F2F2"/>
          </w:tcPr>
          <w:p>
            <w:pPr>
              <w:spacing w:after="0"/>
              <w:rPr>
                <w:sz w:val="16"/>
                <w:szCs w:val="16"/>
                <w:color w:val="auto"/>
              </w:rPr>
            </w:pPr>
          </w:p>
        </w:tc>
        <w:tc>
          <w:tcPr>
            <w:tcW w:w="500" w:type="dxa"/>
            <w:vAlign w:val="bottom"/>
            <w:vMerge w:val="continue"/>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380" w:type="dxa"/>
            <w:vAlign w:val="bottom"/>
            <w:vMerge w:val="continue"/>
            <w:shd w:val="clear" w:color="auto" w:fill="F1F2F2"/>
          </w:tcPr>
          <w:p>
            <w:pPr>
              <w:spacing w:after="0"/>
              <w:rPr>
                <w:sz w:val="16"/>
                <w:szCs w:val="16"/>
                <w:color w:val="auto"/>
              </w:rPr>
            </w:pPr>
          </w:p>
        </w:tc>
        <w:tc>
          <w:tcPr>
            <w:tcW w:w="480" w:type="dxa"/>
            <w:vAlign w:val="bottom"/>
            <w:vMerge w:val="continue"/>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400" w:type="dxa"/>
            <w:vAlign w:val="bottom"/>
            <w:vMerge w:val="continue"/>
            <w:shd w:val="clear" w:color="auto" w:fill="F1F2F2"/>
          </w:tcPr>
          <w:p>
            <w:pPr>
              <w:spacing w:after="0"/>
              <w:rPr>
                <w:sz w:val="16"/>
                <w:szCs w:val="16"/>
                <w:color w:val="auto"/>
              </w:rPr>
            </w:pPr>
          </w:p>
        </w:tc>
        <w:tc>
          <w:tcPr>
            <w:tcW w:w="120" w:type="dxa"/>
            <w:vAlign w:val="bottom"/>
            <w:shd w:val="clear" w:color="auto" w:fill="F1F2F2"/>
          </w:tcPr>
          <w:p>
            <w:pPr>
              <w:spacing w:after="0"/>
              <w:rPr>
                <w:sz w:val="16"/>
                <w:szCs w:val="16"/>
                <w:color w:val="auto"/>
              </w:rPr>
            </w:pPr>
          </w:p>
        </w:tc>
        <w:tc>
          <w:tcPr>
            <w:tcW w:w="360" w:type="dxa"/>
            <w:vAlign w:val="bottom"/>
            <w:vMerge w:val="continue"/>
            <w:shd w:val="clear" w:color="auto" w:fill="F1F2F2"/>
          </w:tcPr>
          <w:p>
            <w:pPr>
              <w:spacing w:after="0"/>
              <w:rPr>
                <w:sz w:val="16"/>
                <w:szCs w:val="16"/>
                <w:color w:val="auto"/>
              </w:rPr>
            </w:pPr>
          </w:p>
        </w:tc>
        <w:tc>
          <w:tcPr>
            <w:tcW w:w="140" w:type="dxa"/>
            <w:vAlign w:val="bottom"/>
            <w:shd w:val="clear" w:color="auto" w:fill="F1F2F2"/>
          </w:tcPr>
          <w:p>
            <w:pPr>
              <w:spacing w:after="0"/>
              <w:rPr>
                <w:sz w:val="16"/>
                <w:szCs w:val="16"/>
                <w:color w:val="auto"/>
              </w:rPr>
            </w:pPr>
          </w:p>
        </w:tc>
        <w:tc>
          <w:tcPr>
            <w:tcW w:w="340" w:type="dxa"/>
            <w:vAlign w:val="bottom"/>
            <w:vMerge w:val="continue"/>
            <w:shd w:val="clear" w:color="auto" w:fill="F1F2F2"/>
          </w:tcPr>
          <w:p>
            <w:pPr>
              <w:spacing w:after="0"/>
              <w:rPr>
                <w:sz w:val="16"/>
                <w:szCs w:val="16"/>
                <w:color w:val="auto"/>
              </w:rPr>
            </w:pPr>
          </w:p>
        </w:tc>
        <w:tc>
          <w:tcPr>
            <w:tcW w:w="140" w:type="dxa"/>
            <w:vAlign w:val="bottom"/>
            <w:shd w:val="clear" w:color="auto" w:fill="F1F2F2"/>
          </w:tcPr>
          <w:p>
            <w:pPr>
              <w:spacing w:after="0"/>
              <w:rPr>
                <w:sz w:val="16"/>
                <w:szCs w:val="16"/>
                <w:color w:val="auto"/>
              </w:rPr>
            </w:pPr>
          </w:p>
        </w:tc>
        <w:tc>
          <w:tcPr>
            <w:tcW w:w="360" w:type="dxa"/>
            <w:vAlign w:val="bottom"/>
            <w:vMerge w:val="continue"/>
            <w:shd w:val="clear" w:color="auto" w:fill="F1F2F2"/>
          </w:tcPr>
          <w:p>
            <w:pPr>
              <w:spacing w:after="0"/>
              <w:rPr>
                <w:sz w:val="16"/>
                <w:szCs w:val="16"/>
                <w:color w:val="auto"/>
              </w:rPr>
            </w:pPr>
          </w:p>
        </w:tc>
        <w:tc>
          <w:tcPr>
            <w:tcW w:w="120" w:type="dxa"/>
            <w:vAlign w:val="bottom"/>
            <w:shd w:val="clear" w:color="auto" w:fill="F1F2F2"/>
          </w:tcPr>
          <w:p>
            <w:pPr>
              <w:spacing w:after="0"/>
              <w:rPr>
                <w:sz w:val="16"/>
                <w:szCs w:val="16"/>
                <w:color w:val="auto"/>
              </w:rPr>
            </w:pPr>
          </w:p>
        </w:tc>
        <w:tc>
          <w:tcPr>
            <w:tcW w:w="360" w:type="dxa"/>
            <w:vAlign w:val="bottom"/>
            <w:vMerge w:val="continue"/>
            <w:shd w:val="clear" w:color="auto" w:fill="F1F2F2"/>
          </w:tcPr>
          <w:p>
            <w:pPr>
              <w:spacing w:after="0"/>
              <w:rPr>
                <w:sz w:val="16"/>
                <w:szCs w:val="16"/>
                <w:color w:val="auto"/>
              </w:rPr>
            </w:pPr>
          </w:p>
        </w:tc>
        <w:tc>
          <w:tcPr>
            <w:tcW w:w="140" w:type="dxa"/>
            <w:vAlign w:val="bottom"/>
            <w:shd w:val="clear" w:color="auto" w:fill="F1F2F2"/>
          </w:tcPr>
          <w:p>
            <w:pPr>
              <w:spacing w:after="0"/>
              <w:rPr>
                <w:sz w:val="16"/>
                <w:szCs w:val="16"/>
                <w:color w:val="auto"/>
              </w:rPr>
            </w:pPr>
          </w:p>
        </w:tc>
        <w:tc>
          <w:tcPr>
            <w:tcW w:w="340" w:type="dxa"/>
            <w:vAlign w:val="bottom"/>
            <w:vMerge w:val="continue"/>
            <w:shd w:val="clear" w:color="auto" w:fill="F1F2F2"/>
          </w:tcPr>
          <w:p>
            <w:pPr>
              <w:spacing w:after="0"/>
              <w:rPr>
                <w:sz w:val="16"/>
                <w:szCs w:val="16"/>
                <w:color w:val="auto"/>
              </w:rPr>
            </w:pPr>
          </w:p>
        </w:tc>
        <w:tc>
          <w:tcPr>
            <w:tcW w:w="140" w:type="dxa"/>
            <w:vAlign w:val="bottom"/>
            <w:shd w:val="clear" w:color="auto" w:fill="F1F2F2"/>
          </w:tcPr>
          <w:p>
            <w:pPr>
              <w:spacing w:after="0"/>
              <w:rPr>
                <w:sz w:val="16"/>
                <w:szCs w:val="16"/>
                <w:color w:val="auto"/>
              </w:rPr>
            </w:pPr>
          </w:p>
        </w:tc>
        <w:tc>
          <w:tcPr>
            <w:tcW w:w="360" w:type="dxa"/>
            <w:vAlign w:val="bottom"/>
            <w:vMerge w:val="continue"/>
            <w:shd w:val="clear" w:color="auto" w:fill="F1F2F2"/>
          </w:tcPr>
          <w:p>
            <w:pPr>
              <w:spacing w:after="0"/>
              <w:rPr>
                <w:sz w:val="16"/>
                <w:szCs w:val="16"/>
                <w:color w:val="auto"/>
              </w:rPr>
            </w:pPr>
          </w:p>
        </w:tc>
        <w:tc>
          <w:tcPr>
            <w:tcW w:w="120" w:type="dxa"/>
            <w:vAlign w:val="bottom"/>
            <w:shd w:val="clear" w:color="auto" w:fill="F1F2F2"/>
          </w:tcPr>
          <w:p>
            <w:pPr>
              <w:spacing w:after="0"/>
              <w:rPr>
                <w:sz w:val="16"/>
                <w:szCs w:val="16"/>
                <w:color w:val="auto"/>
              </w:rPr>
            </w:pPr>
          </w:p>
        </w:tc>
        <w:tc>
          <w:tcPr>
            <w:tcW w:w="360" w:type="dxa"/>
            <w:vAlign w:val="bottom"/>
            <w:vMerge w:val="continue"/>
            <w:shd w:val="clear" w:color="auto" w:fill="F1F2F2"/>
          </w:tcPr>
          <w:p>
            <w:pPr>
              <w:spacing w:after="0"/>
              <w:rPr>
                <w:sz w:val="16"/>
                <w:szCs w:val="16"/>
                <w:color w:val="auto"/>
              </w:rPr>
            </w:pPr>
          </w:p>
        </w:tc>
        <w:tc>
          <w:tcPr>
            <w:tcW w:w="140" w:type="dxa"/>
            <w:vAlign w:val="bottom"/>
            <w:shd w:val="clear" w:color="auto" w:fill="F1F2F2"/>
          </w:tcPr>
          <w:p>
            <w:pPr>
              <w:spacing w:after="0"/>
              <w:rPr>
                <w:sz w:val="16"/>
                <w:szCs w:val="16"/>
                <w:color w:val="auto"/>
              </w:rPr>
            </w:pPr>
          </w:p>
        </w:tc>
        <w:tc>
          <w:tcPr>
            <w:tcW w:w="420" w:type="dxa"/>
            <w:vAlign w:val="bottom"/>
            <w:vMerge w:val="continue"/>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Income tax</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impact of pre-</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tax adjustments</w:t>
            </w:r>
          </w:p>
        </w:tc>
        <w:tc>
          <w:tcPr>
            <w:tcW w:w="500" w:type="dxa"/>
            <w:vAlign w:val="bottom"/>
          </w:tcPr>
          <w:p>
            <w:pPr>
              <w:jc w:val="right"/>
              <w:spacing w:after="0"/>
              <w:rPr>
                <w:sz w:val="20"/>
                <w:szCs w:val="20"/>
                <w:color w:val="auto"/>
              </w:rPr>
            </w:pPr>
            <w:r>
              <w:rPr>
                <w:rFonts w:ascii="Arial" w:cs="Arial" w:eastAsia="Arial" w:hAnsi="Arial"/>
                <w:sz w:val="13"/>
                <w:szCs w:val="13"/>
                <w:color w:val="auto"/>
              </w:rPr>
              <w:t>(128)</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480" w:type="dxa"/>
            <w:vAlign w:val="bottom"/>
          </w:tcPr>
          <w:p>
            <w:pPr>
              <w:jc w:val="right"/>
              <w:spacing w:after="0"/>
              <w:rPr>
                <w:sz w:val="20"/>
                <w:szCs w:val="20"/>
                <w:color w:val="auto"/>
              </w:rPr>
            </w:pPr>
            <w:r>
              <w:rPr>
                <w:rFonts w:ascii="Arial" w:cs="Arial" w:eastAsia="Arial" w:hAnsi="Arial"/>
                <w:sz w:val="13"/>
                <w:szCs w:val="13"/>
                <w:color w:val="auto"/>
              </w:rPr>
              <w:t>(111)</w:t>
            </w:r>
          </w:p>
        </w:tc>
        <w:tc>
          <w:tcPr>
            <w:tcW w:w="50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(68)</w:t>
            </w: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(67)</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2"/>
                <w:szCs w:val="1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at the effective</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tax rate</w:t>
            </w:r>
            <w:r>
              <w:rPr>
                <w:rFonts w:ascii="Arial" w:cs="Arial" w:eastAsia="Arial" w:hAnsi="Arial"/>
                <w:sz w:val="16"/>
                <w:szCs w:val="16"/>
                <w:color w:val="auto"/>
                <w:vertAlign w:val="superscript"/>
              </w:rPr>
              <w:t>(3)</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F1F2F2"/>
          </w:tcPr>
          <w:p>
            <w:pPr>
              <w:spacing w:after="0"/>
              <w:rPr>
                <w:sz w:val="18"/>
                <w:szCs w:val="18"/>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Discrete tax</w:t>
            </w:r>
          </w:p>
        </w:tc>
        <w:tc>
          <w:tcPr>
            <w:tcW w:w="5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61</w:t>
            </w:r>
          </w:p>
        </w:tc>
        <w:tc>
          <w:tcPr>
            <w:tcW w:w="500" w:type="dxa"/>
            <w:vAlign w:val="bottom"/>
            <w:vMerge w:val="restart"/>
            <w:shd w:val="clear" w:color="auto" w:fill="F1F2F2"/>
          </w:tcPr>
          <w:p>
            <w:pPr>
              <w:jc w:val="right"/>
              <w:ind w:right="16"/>
              <w:spacing w:after="0"/>
              <w:rPr>
                <w:sz w:val="20"/>
                <w:szCs w:val="20"/>
                <w:color w:val="auto"/>
              </w:rPr>
            </w:pPr>
            <w:r>
              <w:rPr>
                <w:rFonts w:ascii="Arial" w:cs="Arial" w:eastAsia="Arial" w:hAnsi="Arial"/>
                <w:sz w:val="13"/>
                <w:szCs w:val="13"/>
                <w:color w:val="auto"/>
              </w:rPr>
              <w:t>68</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F1F2F2"/>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shd w:val="clear" w:color="auto" w:fill="F1F2F2"/>
          </w:tcPr>
          <w:p>
            <w:pPr>
              <w:spacing w:after="0"/>
              <w:rPr>
                <w:sz w:val="18"/>
                <w:szCs w:val="18"/>
                <w:color w:val="auto"/>
              </w:rPr>
            </w:pPr>
          </w:p>
        </w:tc>
        <w:tc>
          <w:tcPr>
            <w:tcW w:w="3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10</w:t>
            </w:r>
          </w:p>
        </w:tc>
        <w:tc>
          <w:tcPr>
            <w:tcW w:w="4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F1F2F2"/>
          </w:tcPr>
          <w:p>
            <w:pPr>
              <w:spacing w:after="0"/>
              <w:rPr>
                <w:sz w:val="18"/>
                <w:szCs w:val="18"/>
                <w:color w:val="auto"/>
              </w:rPr>
            </w:pPr>
          </w:p>
        </w:tc>
        <w:tc>
          <w:tcPr>
            <w:tcW w:w="40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F1F2F2"/>
          </w:tcPr>
          <w:p>
            <w:pPr>
              <w:spacing w:after="0"/>
              <w:rPr>
                <w:sz w:val="18"/>
                <w:szCs w:val="18"/>
                <w:color w:val="auto"/>
              </w:rPr>
            </w:pPr>
          </w:p>
        </w:tc>
        <w:tc>
          <w:tcPr>
            <w:tcW w:w="3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(127)</w:t>
            </w:r>
          </w:p>
        </w:tc>
        <w:tc>
          <w:tcPr>
            <w:tcW w:w="140" w:type="dxa"/>
            <w:vAlign w:val="bottom"/>
            <w:shd w:val="clear" w:color="auto" w:fill="F1F2F2"/>
          </w:tcPr>
          <w:p>
            <w:pPr>
              <w:spacing w:after="0"/>
              <w:rPr>
                <w:sz w:val="18"/>
                <w:szCs w:val="18"/>
                <w:color w:val="auto"/>
              </w:rPr>
            </w:pP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8"/>
                <w:szCs w:val="18"/>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8"/>
                <w:szCs w:val="18"/>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8"/>
                <w:szCs w:val="18"/>
                <w:color w:val="auto"/>
              </w:rPr>
            </w:pPr>
          </w:p>
        </w:tc>
        <w:tc>
          <w:tcPr>
            <w:tcW w:w="34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8"/>
                <w:szCs w:val="18"/>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1F2F2"/>
          </w:tcPr>
          <w:p>
            <w:pPr>
              <w:spacing w:after="0"/>
              <w:rPr>
                <w:sz w:val="18"/>
                <w:szCs w:val="18"/>
                <w:color w:val="auto"/>
              </w:rPr>
            </w:pPr>
          </w:p>
        </w:tc>
        <w:tc>
          <w:tcPr>
            <w:tcW w:w="36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F1F2F2"/>
          </w:tcPr>
          <w:p>
            <w:pPr>
              <w:spacing w:after="0"/>
              <w:rPr>
                <w:sz w:val="18"/>
                <w:szCs w:val="18"/>
                <w:color w:val="auto"/>
              </w:rPr>
            </w:pPr>
          </w:p>
        </w:tc>
        <w:tc>
          <w:tcPr>
            <w:tcW w:w="42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100" w:type="dxa"/>
            <w:vAlign w:val="bottom"/>
            <w:shd w:val="clear" w:color="auto" w:fill="F1F2F2"/>
          </w:tcPr>
          <w:p>
            <w:pPr>
              <w:spacing w:after="0"/>
              <w:rPr>
                <w:sz w:val="7"/>
                <w:szCs w:val="7"/>
                <w:color w:val="auto"/>
              </w:rPr>
            </w:pPr>
          </w:p>
        </w:tc>
        <w:tc>
          <w:tcPr>
            <w:tcW w:w="1100" w:type="dxa"/>
            <w:vAlign w:val="bottom"/>
            <w:vMerge w:val="restart"/>
            <w:shd w:val="clear" w:color="auto" w:fill="F1F2F2"/>
          </w:tcPr>
          <w:p>
            <w:pPr>
              <w:ind w:left="160"/>
              <w:spacing w:after="0"/>
              <w:rPr>
                <w:sz w:val="20"/>
                <w:szCs w:val="20"/>
                <w:color w:val="auto"/>
              </w:rPr>
            </w:pPr>
            <w:r>
              <w:rPr>
                <w:rFonts w:ascii="Arial" w:cs="Arial" w:eastAsia="Arial" w:hAnsi="Arial"/>
                <w:sz w:val="13"/>
                <w:szCs w:val="13"/>
                <w:color w:val="auto"/>
              </w:rPr>
              <w:t>items</w:t>
            </w:r>
            <w:r>
              <w:rPr>
                <w:rFonts w:ascii="Arial" w:cs="Arial" w:eastAsia="Arial" w:hAnsi="Arial"/>
                <w:sz w:val="16"/>
                <w:szCs w:val="16"/>
                <w:color w:val="auto"/>
                <w:vertAlign w:val="superscript"/>
              </w:rPr>
              <w:t>(4)</w:t>
            </w:r>
          </w:p>
        </w:tc>
        <w:tc>
          <w:tcPr>
            <w:tcW w:w="500" w:type="dxa"/>
            <w:vAlign w:val="bottom"/>
            <w:vMerge w:val="continue"/>
            <w:shd w:val="clear" w:color="auto" w:fill="F1F2F2"/>
          </w:tcPr>
          <w:p>
            <w:pPr>
              <w:spacing w:after="0"/>
              <w:rPr>
                <w:sz w:val="7"/>
                <w:szCs w:val="7"/>
                <w:color w:val="auto"/>
              </w:rPr>
            </w:pPr>
          </w:p>
        </w:tc>
        <w:tc>
          <w:tcPr>
            <w:tcW w:w="500" w:type="dxa"/>
            <w:vAlign w:val="bottom"/>
            <w:vMerge w:val="continue"/>
            <w:shd w:val="clear" w:color="auto" w:fill="F1F2F2"/>
          </w:tcPr>
          <w:p>
            <w:pPr>
              <w:spacing w:after="0"/>
              <w:rPr>
                <w:sz w:val="7"/>
                <w:szCs w:val="7"/>
                <w:color w:val="auto"/>
              </w:rPr>
            </w:pPr>
          </w:p>
        </w:tc>
        <w:tc>
          <w:tcPr>
            <w:tcW w:w="480" w:type="dxa"/>
            <w:vAlign w:val="bottom"/>
            <w:vMerge w:val="continue"/>
            <w:shd w:val="clear" w:color="auto" w:fill="F1F2F2"/>
          </w:tcPr>
          <w:p>
            <w:pPr>
              <w:spacing w:after="0"/>
              <w:rPr>
                <w:sz w:val="7"/>
                <w:szCs w:val="7"/>
                <w:color w:val="auto"/>
              </w:rPr>
            </w:pPr>
          </w:p>
        </w:tc>
        <w:tc>
          <w:tcPr>
            <w:tcW w:w="480" w:type="dxa"/>
            <w:vAlign w:val="bottom"/>
            <w:vMerge w:val="continue"/>
            <w:shd w:val="clear" w:color="auto" w:fill="F1F2F2"/>
          </w:tcPr>
          <w:p>
            <w:pPr>
              <w:spacing w:after="0"/>
              <w:rPr>
                <w:sz w:val="7"/>
                <w:szCs w:val="7"/>
                <w:color w:val="auto"/>
              </w:rPr>
            </w:pPr>
          </w:p>
        </w:tc>
        <w:tc>
          <w:tcPr>
            <w:tcW w:w="50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380" w:type="dxa"/>
            <w:vAlign w:val="bottom"/>
            <w:vMerge w:val="continue"/>
            <w:shd w:val="clear" w:color="auto" w:fill="F1F2F2"/>
          </w:tcPr>
          <w:p>
            <w:pPr>
              <w:spacing w:after="0"/>
              <w:rPr>
                <w:sz w:val="7"/>
                <w:szCs w:val="7"/>
                <w:color w:val="auto"/>
              </w:rPr>
            </w:pPr>
          </w:p>
        </w:tc>
        <w:tc>
          <w:tcPr>
            <w:tcW w:w="48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400" w:type="dxa"/>
            <w:vAlign w:val="bottom"/>
            <w:vMerge w:val="continue"/>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360" w:type="dxa"/>
            <w:vAlign w:val="bottom"/>
            <w:vMerge w:val="continue"/>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360" w:type="dxa"/>
            <w:vAlign w:val="bottom"/>
            <w:vMerge w:val="continue"/>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360" w:type="dxa"/>
            <w:vAlign w:val="bottom"/>
            <w:vMerge w:val="continue"/>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340" w:type="dxa"/>
            <w:vAlign w:val="bottom"/>
            <w:vMerge w:val="continue"/>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360" w:type="dxa"/>
            <w:vAlign w:val="bottom"/>
            <w:vMerge w:val="continue"/>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360" w:type="dxa"/>
            <w:vAlign w:val="bottom"/>
            <w:vMerge w:val="continue"/>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42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0" w:type="dxa"/>
            <w:vAlign w:val="bottom"/>
            <w:shd w:val="clear" w:color="auto" w:fill="F1F2F2"/>
          </w:tcPr>
          <w:p>
            <w:pPr>
              <w:spacing w:after="0"/>
              <w:rPr>
                <w:sz w:val="11"/>
                <w:szCs w:val="11"/>
                <w:color w:val="auto"/>
              </w:rPr>
            </w:pPr>
          </w:p>
        </w:tc>
        <w:tc>
          <w:tcPr>
            <w:tcW w:w="1100" w:type="dxa"/>
            <w:vAlign w:val="bottom"/>
            <w:vMerge w:val="continue"/>
            <w:shd w:val="clear" w:color="auto" w:fill="F1F2F2"/>
          </w:tcPr>
          <w:p>
            <w:pPr>
              <w:spacing w:after="0"/>
              <w:rPr>
                <w:sz w:val="11"/>
                <w:szCs w:val="11"/>
                <w:color w:val="auto"/>
              </w:rPr>
            </w:pPr>
          </w:p>
        </w:tc>
        <w:tc>
          <w:tcPr>
            <w:tcW w:w="500" w:type="dxa"/>
            <w:vAlign w:val="bottom"/>
            <w:tcBorders>
              <w:bottom w:val="single" w:sz="8" w:color="C43776"/>
            </w:tcBorders>
            <w:shd w:val="clear" w:color="auto" w:fill="F1F2F2"/>
          </w:tcPr>
          <w:p>
            <w:pPr>
              <w:spacing w:after="0"/>
              <w:rPr>
                <w:sz w:val="11"/>
                <w:szCs w:val="11"/>
                <w:color w:val="auto"/>
              </w:rPr>
            </w:pPr>
          </w:p>
        </w:tc>
        <w:tc>
          <w:tcPr>
            <w:tcW w:w="500" w:type="dxa"/>
            <w:vAlign w:val="bottom"/>
            <w:tcBorders>
              <w:bottom w:val="single" w:sz="8" w:color="C43776"/>
            </w:tcBorders>
            <w:shd w:val="clear" w:color="auto" w:fill="F1F2F2"/>
          </w:tcPr>
          <w:p>
            <w:pPr>
              <w:spacing w:after="0"/>
              <w:rPr>
                <w:sz w:val="11"/>
                <w:szCs w:val="11"/>
                <w:color w:val="auto"/>
              </w:rPr>
            </w:pPr>
          </w:p>
        </w:tc>
        <w:tc>
          <w:tcPr>
            <w:tcW w:w="480" w:type="dxa"/>
            <w:vAlign w:val="bottom"/>
            <w:tcBorders>
              <w:bottom w:val="single" w:sz="8" w:color="C43776"/>
            </w:tcBorders>
            <w:shd w:val="clear" w:color="auto" w:fill="F1F2F2"/>
          </w:tcPr>
          <w:p>
            <w:pPr>
              <w:spacing w:after="0"/>
              <w:rPr>
                <w:sz w:val="11"/>
                <w:szCs w:val="11"/>
                <w:color w:val="auto"/>
              </w:rPr>
            </w:pPr>
          </w:p>
        </w:tc>
        <w:tc>
          <w:tcPr>
            <w:tcW w:w="480" w:type="dxa"/>
            <w:vAlign w:val="bottom"/>
            <w:tcBorders>
              <w:bottom w:val="single" w:sz="8" w:color="C43776"/>
            </w:tcBorders>
            <w:shd w:val="clear" w:color="auto" w:fill="F1F2F2"/>
          </w:tcPr>
          <w:p>
            <w:pPr>
              <w:spacing w:after="0"/>
              <w:rPr>
                <w:sz w:val="11"/>
                <w:szCs w:val="11"/>
                <w:color w:val="auto"/>
              </w:rPr>
            </w:pPr>
          </w:p>
        </w:tc>
        <w:tc>
          <w:tcPr>
            <w:tcW w:w="500" w:type="dxa"/>
            <w:vAlign w:val="bottom"/>
            <w:tcBorders>
              <w:bottom w:val="single" w:sz="8" w:color="C43776"/>
            </w:tcBorders>
            <w:shd w:val="clear" w:color="auto" w:fill="F1F2F2"/>
          </w:tcPr>
          <w:p>
            <w:pPr>
              <w:spacing w:after="0"/>
              <w:rPr>
                <w:sz w:val="11"/>
                <w:szCs w:val="11"/>
                <w:color w:val="auto"/>
              </w:rPr>
            </w:pPr>
          </w:p>
        </w:tc>
        <w:tc>
          <w:tcPr>
            <w:tcW w:w="100" w:type="dxa"/>
            <w:vAlign w:val="bottom"/>
            <w:tcBorders>
              <w:bottom w:val="single" w:sz="8" w:color="C43776"/>
            </w:tcBorders>
            <w:shd w:val="clear" w:color="auto" w:fill="F1F2F2"/>
          </w:tcPr>
          <w:p>
            <w:pPr>
              <w:spacing w:after="0"/>
              <w:rPr>
                <w:sz w:val="11"/>
                <w:szCs w:val="11"/>
                <w:color w:val="auto"/>
              </w:rPr>
            </w:pPr>
          </w:p>
        </w:tc>
        <w:tc>
          <w:tcPr>
            <w:tcW w:w="380" w:type="dxa"/>
            <w:vAlign w:val="bottom"/>
            <w:tcBorders>
              <w:bottom w:val="single" w:sz="8" w:color="C43776"/>
            </w:tcBorders>
            <w:shd w:val="clear" w:color="auto" w:fill="F1F2F2"/>
          </w:tcPr>
          <w:p>
            <w:pPr>
              <w:spacing w:after="0"/>
              <w:rPr>
                <w:sz w:val="11"/>
                <w:szCs w:val="11"/>
                <w:color w:val="auto"/>
              </w:rPr>
            </w:pPr>
          </w:p>
        </w:tc>
        <w:tc>
          <w:tcPr>
            <w:tcW w:w="480" w:type="dxa"/>
            <w:vAlign w:val="bottom"/>
            <w:tcBorders>
              <w:bottom w:val="single" w:sz="8" w:color="C43776"/>
            </w:tcBorders>
            <w:shd w:val="clear" w:color="auto" w:fill="F1F2F2"/>
          </w:tcPr>
          <w:p>
            <w:pPr>
              <w:spacing w:after="0"/>
              <w:rPr>
                <w:sz w:val="11"/>
                <w:szCs w:val="11"/>
                <w:color w:val="auto"/>
              </w:rPr>
            </w:pPr>
          </w:p>
        </w:tc>
        <w:tc>
          <w:tcPr>
            <w:tcW w:w="100" w:type="dxa"/>
            <w:vAlign w:val="bottom"/>
            <w:tcBorders>
              <w:bottom w:val="single" w:sz="8" w:color="C43776"/>
            </w:tcBorders>
            <w:shd w:val="clear" w:color="auto" w:fill="F1F2F2"/>
          </w:tcPr>
          <w:p>
            <w:pPr>
              <w:spacing w:after="0"/>
              <w:rPr>
                <w:sz w:val="11"/>
                <w:szCs w:val="11"/>
                <w:color w:val="auto"/>
              </w:rPr>
            </w:pPr>
          </w:p>
        </w:tc>
        <w:tc>
          <w:tcPr>
            <w:tcW w:w="400" w:type="dxa"/>
            <w:vAlign w:val="bottom"/>
            <w:tcBorders>
              <w:bottom w:val="single" w:sz="8" w:color="C43776"/>
            </w:tcBorders>
            <w:shd w:val="clear" w:color="auto" w:fill="F1F2F2"/>
          </w:tcPr>
          <w:p>
            <w:pPr>
              <w:spacing w:after="0"/>
              <w:rPr>
                <w:sz w:val="11"/>
                <w:szCs w:val="11"/>
                <w:color w:val="auto"/>
              </w:rPr>
            </w:pPr>
          </w:p>
        </w:tc>
        <w:tc>
          <w:tcPr>
            <w:tcW w:w="120" w:type="dxa"/>
            <w:vAlign w:val="bottom"/>
            <w:tcBorders>
              <w:bottom w:val="single" w:sz="8" w:color="C43776"/>
            </w:tcBorders>
            <w:shd w:val="clear" w:color="auto" w:fill="F1F2F2"/>
          </w:tcPr>
          <w:p>
            <w:pPr>
              <w:spacing w:after="0"/>
              <w:rPr>
                <w:sz w:val="11"/>
                <w:szCs w:val="11"/>
                <w:color w:val="auto"/>
              </w:rPr>
            </w:pPr>
          </w:p>
        </w:tc>
        <w:tc>
          <w:tcPr>
            <w:tcW w:w="360" w:type="dxa"/>
            <w:vAlign w:val="bottom"/>
            <w:tcBorders>
              <w:bottom w:val="single" w:sz="8" w:color="C43776"/>
            </w:tcBorders>
            <w:shd w:val="clear" w:color="auto" w:fill="F1F2F2"/>
          </w:tcPr>
          <w:p>
            <w:pPr>
              <w:spacing w:after="0"/>
              <w:rPr>
                <w:sz w:val="11"/>
                <w:szCs w:val="11"/>
                <w:color w:val="auto"/>
              </w:rPr>
            </w:pPr>
          </w:p>
        </w:tc>
        <w:tc>
          <w:tcPr>
            <w:tcW w:w="140" w:type="dxa"/>
            <w:vAlign w:val="bottom"/>
            <w:tcBorders>
              <w:bottom w:val="single" w:sz="8" w:color="C43776"/>
            </w:tcBorders>
            <w:shd w:val="clear" w:color="auto" w:fill="F1F2F2"/>
          </w:tcPr>
          <w:p>
            <w:pPr>
              <w:spacing w:after="0"/>
              <w:rPr>
                <w:sz w:val="11"/>
                <w:szCs w:val="11"/>
                <w:color w:val="auto"/>
              </w:rPr>
            </w:pPr>
          </w:p>
        </w:tc>
        <w:tc>
          <w:tcPr>
            <w:tcW w:w="340" w:type="dxa"/>
            <w:vAlign w:val="bottom"/>
            <w:tcBorders>
              <w:bottom w:val="single" w:sz="8" w:color="C43776"/>
            </w:tcBorders>
            <w:shd w:val="clear" w:color="auto" w:fill="F1F2F2"/>
          </w:tcPr>
          <w:p>
            <w:pPr>
              <w:spacing w:after="0"/>
              <w:rPr>
                <w:sz w:val="11"/>
                <w:szCs w:val="11"/>
                <w:color w:val="auto"/>
              </w:rPr>
            </w:pPr>
          </w:p>
        </w:tc>
        <w:tc>
          <w:tcPr>
            <w:tcW w:w="140" w:type="dxa"/>
            <w:vAlign w:val="bottom"/>
            <w:tcBorders>
              <w:bottom w:val="single" w:sz="8" w:color="C43776"/>
            </w:tcBorders>
            <w:shd w:val="clear" w:color="auto" w:fill="F1F2F2"/>
          </w:tcPr>
          <w:p>
            <w:pPr>
              <w:spacing w:after="0"/>
              <w:rPr>
                <w:sz w:val="11"/>
                <w:szCs w:val="11"/>
                <w:color w:val="auto"/>
              </w:rPr>
            </w:pPr>
          </w:p>
        </w:tc>
        <w:tc>
          <w:tcPr>
            <w:tcW w:w="360" w:type="dxa"/>
            <w:vAlign w:val="bottom"/>
            <w:tcBorders>
              <w:bottom w:val="single" w:sz="8" w:color="C43776"/>
            </w:tcBorders>
            <w:shd w:val="clear" w:color="auto" w:fill="F1F2F2"/>
          </w:tcPr>
          <w:p>
            <w:pPr>
              <w:spacing w:after="0"/>
              <w:rPr>
                <w:sz w:val="11"/>
                <w:szCs w:val="11"/>
                <w:color w:val="auto"/>
              </w:rPr>
            </w:pPr>
          </w:p>
        </w:tc>
        <w:tc>
          <w:tcPr>
            <w:tcW w:w="120" w:type="dxa"/>
            <w:vAlign w:val="bottom"/>
            <w:tcBorders>
              <w:bottom w:val="single" w:sz="8" w:color="C43776"/>
            </w:tcBorders>
            <w:shd w:val="clear" w:color="auto" w:fill="F1F2F2"/>
          </w:tcPr>
          <w:p>
            <w:pPr>
              <w:spacing w:after="0"/>
              <w:rPr>
                <w:sz w:val="11"/>
                <w:szCs w:val="11"/>
                <w:color w:val="auto"/>
              </w:rPr>
            </w:pPr>
          </w:p>
        </w:tc>
        <w:tc>
          <w:tcPr>
            <w:tcW w:w="360" w:type="dxa"/>
            <w:vAlign w:val="bottom"/>
            <w:tcBorders>
              <w:bottom w:val="single" w:sz="8" w:color="C43776"/>
            </w:tcBorders>
            <w:shd w:val="clear" w:color="auto" w:fill="F1F2F2"/>
          </w:tcPr>
          <w:p>
            <w:pPr>
              <w:spacing w:after="0"/>
              <w:rPr>
                <w:sz w:val="11"/>
                <w:szCs w:val="11"/>
                <w:color w:val="auto"/>
              </w:rPr>
            </w:pPr>
          </w:p>
        </w:tc>
        <w:tc>
          <w:tcPr>
            <w:tcW w:w="140" w:type="dxa"/>
            <w:vAlign w:val="bottom"/>
            <w:tcBorders>
              <w:bottom w:val="single" w:sz="8" w:color="C43776"/>
            </w:tcBorders>
            <w:shd w:val="clear" w:color="auto" w:fill="F1F2F2"/>
          </w:tcPr>
          <w:p>
            <w:pPr>
              <w:spacing w:after="0"/>
              <w:rPr>
                <w:sz w:val="11"/>
                <w:szCs w:val="11"/>
                <w:color w:val="auto"/>
              </w:rPr>
            </w:pPr>
          </w:p>
        </w:tc>
        <w:tc>
          <w:tcPr>
            <w:tcW w:w="340" w:type="dxa"/>
            <w:vAlign w:val="bottom"/>
            <w:tcBorders>
              <w:bottom w:val="single" w:sz="8" w:color="C43776"/>
            </w:tcBorders>
            <w:shd w:val="clear" w:color="auto" w:fill="F1F2F2"/>
          </w:tcPr>
          <w:p>
            <w:pPr>
              <w:spacing w:after="0"/>
              <w:rPr>
                <w:sz w:val="11"/>
                <w:szCs w:val="11"/>
                <w:color w:val="auto"/>
              </w:rPr>
            </w:pPr>
          </w:p>
        </w:tc>
        <w:tc>
          <w:tcPr>
            <w:tcW w:w="140" w:type="dxa"/>
            <w:vAlign w:val="bottom"/>
            <w:tcBorders>
              <w:bottom w:val="single" w:sz="8" w:color="C43776"/>
            </w:tcBorders>
            <w:shd w:val="clear" w:color="auto" w:fill="F1F2F2"/>
          </w:tcPr>
          <w:p>
            <w:pPr>
              <w:spacing w:after="0"/>
              <w:rPr>
                <w:sz w:val="11"/>
                <w:szCs w:val="11"/>
                <w:color w:val="auto"/>
              </w:rPr>
            </w:pPr>
          </w:p>
        </w:tc>
        <w:tc>
          <w:tcPr>
            <w:tcW w:w="360" w:type="dxa"/>
            <w:vAlign w:val="bottom"/>
            <w:tcBorders>
              <w:bottom w:val="single" w:sz="8" w:color="C43776"/>
            </w:tcBorders>
            <w:shd w:val="clear" w:color="auto" w:fill="F1F2F2"/>
          </w:tcPr>
          <w:p>
            <w:pPr>
              <w:spacing w:after="0"/>
              <w:rPr>
                <w:sz w:val="11"/>
                <w:szCs w:val="11"/>
                <w:color w:val="auto"/>
              </w:rPr>
            </w:pPr>
          </w:p>
        </w:tc>
        <w:tc>
          <w:tcPr>
            <w:tcW w:w="120" w:type="dxa"/>
            <w:vAlign w:val="bottom"/>
            <w:tcBorders>
              <w:bottom w:val="single" w:sz="8" w:color="C43776"/>
            </w:tcBorders>
            <w:shd w:val="clear" w:color="auto" w:fill="F1F2F2"/>
          </w:tcPr>
          <w:p>
            <w:pPr>
              <w:spacing w:after="0"/>
              <w:rPr>
                <w:sz w:val="11"/>
                <w:szCs w:val="11"/>
                <w:color w:val="auto"/>
              </w:rPr>
            </w:pPr>
          </w:p>
        </w:tc>
        <w:tc>
          <w:tcPr>
            <w:tcW w:w="360" w:type="dxa"/>
            <w:vAlign w:val="bottom"/>
            <w:tcBorders>
              <w:bottom w:val="single" w:sz="8" w:color="C43776"/>
            </w:tcBorders>
            <w:shd w:val="clear" w:color="auto" w:fill="F1F2F2"/>
          </w:tcPr>
          <w:p>
            <w:pPr>
              <w:spacing w:after="0"/>
              <w:rPr>
                <w:sz w:val="11"/>
                <w:szCs w:val="11"/>
                <w:color w:val="auto"/>
              </w:rPr>
            </w:pPr>
          </w:p>
        </w:tc>
        <w:tc>
          <w:tcPr>
            <w:tcW w:w="140" w:type="dxa"/>
            <w:vAlign w:val="bottom"/>
            <w:tcBorders>
              <w:bottom w:val="single" w:sz="8" w:color="C43776"/>
            </w:tcBorders>
            <w:shd w:val="clear" w:color="auto" w:fill="F1F2F2"/>
          </w:tcPr>
          <w:p>
            <w:pPr>
              <w:spacing w:after="0"/>
              <w:rPr>
                <w:sz w:val="11"/>
                <w:szCs w:val="11"/>
                <w:color w:val="auto"/>
              </w:rPr>
            </w:pPr>
          </w:p>
        </w:tc>
        <w:tc>
          <w:tcPr>
            <w:tcW w:w="420" w:type="dxa"/>
            <w:vAlign w:val="bottom"/>
            <w:tcBorders>
              <w:bottom w:val="single" w:sz="8" w:color="C43776"/>
            </w:tcBorders>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Adjusted net</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income</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$1,518</w:t>
            </w:r>
          </w:p>
        </w:tc>
        <w:tc>
          <w:tcPr>
            <w:tcW w:w="500" w:type="dxa"/>
            <w:vAlign w:val="bottom"/>
            <w:vMerge w:val="restart"/>
          </w:tcPr>
          <w:p>
            <w:pPr>
              <w:jc w:val="right"/>
              <w:ind w:right="16"/>
              <w:spacing w:after="0"/>
              <w:rPr>
                <w:sz w:val="20"/>
                <w:szCs w:val="20"/>
                <w:color w:val="auto"/>
              </w:rPr>
            </w:pPr>
            <w:r>
              <w:rPr>
                <w:rFonts w:ascii="Arial" w:cs="Arial" w:eastAsia="Arial" w:hAnsi="Arial"/>
                <w:sz w:val="13"/>
                <w:szCs w:val="13"/>
                <w:color w:val="auto"/>
              </w:rPr>
              <w:t>$1,364</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$1,259</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$1,237</w:t>
            </w:r>
          </w:p>
        </w:tc>
        <w:tc>
          <w:tcPr>
            <w:tcW w:w="500" w:type="dxa"/>
            <w:vAlign w:val="bottom"/>
            <w:vMerge w:val="restart"/>
          </w:tcPr>
          <w:p>
            <w:pPr>
              <w:jc w:val="right"/>
              <w:ind w:right="16"/>
              <w:spacing w:after="0"/>
              <w:rPr>
                <w:sz w:val="20"/>
                <w:szCs w:val="20"/>
                <w:color w:val="auto"/>
              </w:rPr>
            </w:pPr>
            <w:r>
              <w:rPr>
                <w:rFonts w:ascii="Arial" w:cs="Arial" w:eastAsia="Arial" w:hAnsi="Arial"/>
                <w:sz w:val="13"/>
                <w:szCs w:val="13"/>
                <w:color w:val="auto"/>
              </w:rPr>
              <w:t>$1,110</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962</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$1,062</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17"/>
              <w:spacing w:after="0"/>
              <w:rPr>
                <w:sz w:val="20"/>
                <w:szCs w:val="20"/>
                <w:color w:val="auto"/>
              </w:rPr>
            </w:pPr>
            <w:r>
              <w:rPr>
                <w:rFonts w:ascii="Arial" w:cs="Arial" w:eastAsia="Arial" w:hAnsi="Arial"/>
                <w:sz w:val="13"/>
                <w:szCs w:val="13"/>
                <w:color w:val="auto"/>
              </w:rPr>
              <w:t>970</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799</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659</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593</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448</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343</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256</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182</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ind w:right="77"/>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1100" w:type="dxa"/>
            <w:vAlign w:val="bottom"/>
            <w:vMerge w:val="restart"/>
          </w:tcPr>
          <w:p>
            <w:pPr>
              <w:ind w:left="160"/>
              <w:spacing w:after="0"/>
              <w:rPr>
                <w:sz w:val="20"/>
                <w:szCs w:val="20"/>
                <w:color w:val="auto"/>
              </w:rPr>
            </w:pPr>
            <w:r>
              <w:rPr>
                <w:rFonts w:ascii="Arial" w:cs="Arial" w:eastAsia="Arial" w:hAnsi="Arial"/>
                <w:sz w:val="13"/>
                <w:szCs w:val="13"/>
                <w:color w:val="auto"/>
              </w:rPr>
              <w:t>attributable to</w:t>
            </w:r>
          </w:p>
        </w:tc>
        <w:tc>
          <w:tcPr>
            <w:tcW w:w="5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100" w:type="dxa"/>
            <w:vAlign w:val="bottom"/>
          </w:tcPr>
          <w:p>
            <w:pPr>
              <w:ind w:left="160"/>
              <w:spacing w:after="0"/>
              <w:rPr>
                <w:sz w:val="20"/>
                <w:szCs w:val="20"/>
                <w:color w:val="auto"/>
              </w:rPr>
            </w:pPr>
            <w:r>
              <w:rPr>
                <w:rFonts w:ascii="Arial" w:cs="Arial" w:eastAsia="Arial" w:hAnsi="Arial"/>
                <w:sz w:val="13"/>
                <w:szCs w:val="13"/>
                <w:color w:val="auto"/>
              </w:rPr>
              <w:t>Corpay</w:t>
            </w:r>
            <w:r>
              <w:rPr>
                <w:rFonts w:ascii="Arial" w:cs="Arial" w:eastAsia="Arial" w:hAnsi="Arial"/>
                <w:sz w:val="16"/>
                <w:szCs w:val="16"/>
                <w:color w:val="auto"/>
                <w:vertAlign w:val="superscript"/>
              </w:rPr>
              <w:t>(2)</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F1F2F2"/>
          </w:tcPr>
          <w:p>
            <w:pPr>
              <w:spacing w:after="0"/>
              <w:rPr>
                <w:sz w:val="18"/>
                <w:szCs w:val="18"/>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Adjusted net</w:t>
            </w:r>
          </w:p>
        </w:tc>
        <w:tc>
          <w:tcPr>
            <w:tcW w:w="500" w:type="dxa"/>
            <w:vAlign w:val="bottom"/>
            <w:shd w:val="clear" w:color="auto" w:fill="F1F2F2"/>
          </w:tcPr>
          <w:p>
            <w:pPr>
              <w:spacing w:after="0"/>
              <w:rPr>
                <w:sz w:val="18"/>
                <w:szCs w:val="18"/>
                <w:color w:val="auto"/>
              </w:rPr>
            </w:pPr>
          </w:p>
        </w:tc>
        <w:tc>
          <w:tcPr>
            <w:tcW w:w="50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50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380" w:type="dxa"/>
            <w:vAlign w:val="bottom"/>
            <w:shd w:val="clear" w:color="auto" w:fill="F1F2F2"/>
          </w:tcPr>
          <w:p>
            <w:pPr>
              <w:spacing w:after="0"/>
              <w:rPr>
                <w:sz w:val="18"/>
                <w:szCs w:val="18"/>
                <w:color w:val="auto"/>
              </w:rPr>
            </w:pPr>
          </w:p>
        </w:tc>
        <w:tc>
          <w:tcPr>
            <w:tcW w:w="48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40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4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4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360" w:type="dxa"/>
            <w:vAlign w:val="bottom"/>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420" w:type="dxa"/>
            <w:vAlign w:val="bottom"/>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1F2F2"/>
          </w:tcPr>
          <w:p>
            <w:pPr>
              <w:spacing w:after="0"/>
              <w:rPr>
                <w:sz w:val="14"/>
                <w:szCs w:val="14"/>
                <w:color w:val="auto"/>
              </w:rPr>
            </w:pPr>
          </w:p>
        </w:tc>
        <w:tc>
          <w:tcPr>
            <w:tcW w:w="1100" w:type="dxa"/>
            <w:vAlign w:val="bottom"/>
            <w:shd w:val="clear" w:color="auto" w:fill="F1F2F2"/>
          </w:tcPr>
          <w:p>
            <w:pPr>
              <w:ind w:left="160"/>
              <w:spacing w:after="0"/>
              <w:rPr>
                <w:sz w:val="20"/>
                <w:szCs w:val="20"/>
                <w:color w:val="auto"/>
              </w:rPr>
            </w:pPr>
            <w:r>
              <w:rPr>
                <w:rFonts w:ascii="Arial" w:cs="Arial" w:eastAsia="Arial" w:hAnsi="Arial"/>
                <w:sz w:val="13"/>
                <w:szCs w:val="13"/>
                <w:color w:val="auto"/>
              </w:rPr>
              <w:t>income per</w:t>
            </w:r>
          </w:p>
        </w:tc>
        <w:tc>
          <w:tcPr>
            <w:tcW w:w="5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$21.38</w:t>
            </w:r>
          </w:p>
        </w:tc>
        <w:tc>
          <w:tcPr>
            <w:tcW w:w="50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rPr>
              <w:t>$19.01</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$16.92</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$16.10</w:t>
            </w:r>
          </w:p>
        </w:tc>
        <w:tc>
          <w:tcPr>
            <w:tcW w:w="50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rPr>
              <w:t>$13.21</w:t>
            </w:r>
          </w:p>
        </w:tc>
        <w:tc>
          <w:tcPr>
            <w:tcW w:w="1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w w:val="85"/>
              </w:rPr>
              <w:t>11.09</w:t>
            </w:r>
          </w:p>
        </w:tc>
        <w:tc>
          <w:tcPr>
            <w:tcW w:w="480" w:type="dxa"/>
            <w:vAlign w:val="bottom"/>
            <w:shd w:val="clear" w:color="auto" w:fill="F1F2F2"/>
          </w:tcPr>
          <w:p>
            <w:pPr>
              <w:jc w:val="right"/>
              <w:ind w:right="16"/>
              <w:spacing w:after="0"/>
              <w:rPr>
                <w:sz w:val="20"/>
                <w:szCs w:val="20"/>
                <w:color w:val="auto"/>
              </w:rPr>
            </w:pPr>
            <w:r>
              <w:rPr>
                <w:rFonts w:ascii="Arial" w:cs="Arial" w:eastAsia="Arial" w:hAnsi="Arial"/>
                <w:sz w:val="13"/>
                <w:szCs w:val="13"/>
                <w:color w:val="auto"/>
                <w:w w:val="95"/>
              </w:rPr>
              <w:t>$11.79</w:t>
            </w:r>
          </w:p>
        </w:tc>
        <w:tc>
          <w:tcPr>
            <w:tcW w:w="1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w w:val="92"/>
              </w:rPr>
              <w:t>10.53</w:t>
            </w:r>
          </w:p>
        </w:tc>
        <w:tc>
          <w:tcPr>
            <w:tcW w:w="1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8.54</w:t>
            </w:r>
          </w:p>
        </w:tc>
        <w:tc>
          <w:tcPr>
            <w:tcW w:w="1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6.92</w:t>
            </w:r>
          </w:p>
        </w:tc>
        <w:tc>
          <w:tcPr>
            <w:tcW w:w="1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6.30</w:t>
            </w:r>
          </w:p>
        </w:tc>
        <w:tc>
          <w:tcPr>
            <w:tcW w:w="1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5.15</w:t>
            </w:r>
          </w:p>
        </w:tc>
        <w:tc>
          <w:tcPr>
            <w:tcW w:w="1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4.05</w:t>
            </w:r>
          </w:p>
        </w:tc>
        <w:tc>
          <w:tcPr>
            <w:tcW w:w="1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2.99</w:t>
            </w:r>
          </w:p>
        </w:tc>
        <w:tc>
          <w:tcPr>
            <w:tcW w:w="1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2.17</w:t>
            </w:r>
          </w:p>
        </w:tc>
        <w:tc>
          <w:tcPr>
            <w:tcW w:w="1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F1F2F2"/>
          </w:tcPr>
          <w:p>
            <w:pPr>
              <w:jc w:val="right"/>
              <w:ind w:right="77"/>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200"/>
        </w:trPr>
        <w:tc>
          <w:tcPr>
            <w:tcW w:w="100" w:type="dxa"/>
            <w:vAlign w:val="bottom"/>
            <w:tcBorders>
              <w:bottom w:val="single" w:sz="8" w:color="F1F2F2"/>
            </w:tcBorders>
            <w:shd w:val="clear" w:color="auto" w:fill="F1F2F2"/>
          </w:tcPr>
          <w:p>
            <w:pPr>
              <w:spacing w:after="0"/>
              <w:rPr>
                <w:sz w:val="17"/>
                <w:szCs w:val="17"/>
                <w:color w:val="auto"/>
              </w:rPr>
            </w:pPr>
          </w:p>
        </w:tc>
        <w:tc>
          <w:tcPr>
            <w:tcW w:w="110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3"/>
                <w:szCs w:val="13"/>
                <w:color w:val="auto"/>
              </w:rPr>
              <w:t>diluted share</w:t>
            </w:r>
          </w:p>
        </w:tc>
        <w:tc>
          <w:tcPr>
            <w:tcW w:w="500" w:type="dxa"/>
            <w:vAlign w:val="bottom"/>
            <w:tcBorders>
              <w:bottom w:val="single" w:sz="8" w:color="F1F2F2"/>
            </w:tcBorders>
            <w:shd w:val="clear" w:color="auto" w:fill="F1F2F2"/>
          </w:tcPr>
          <w:p>
            <w:pPr>
              <w:spacing w:after="0"/>
              <w:rPr>
                <w:sz w:val="17"/>
                <w:szCs w:val="17"/>
                <w:color w:val="auto"/>
              </w:rPr>
            </w:pPr>
          </w:p>
        </w:tc>
        <w:tc>
          <w:tcPr>
            <w:tcW w:w="500" w:type="dxa"/>
            <w:vAlign w:val="bottom"/>
            <w:tcBorders>
              <w:bottom w:val="single" w:sz="8" w:color="F1F2F2"/>
            </w:tcBorders>
            <w:shd w:val="clear" w:color="auto" w:fill="F1F2F2"/>
          </w:tcPr>
          <w:p>
            <w:pPr>
              <w:spacing w:after="0"/>
              <w:rPr>
                <w:sz w:val="17"/>
                <w:szCs w:val="17"/>
                <w:color w:val="auto"/>
              </w:rPr>
            </w:pPr>
          </w:p>
        </w:tc>
        <w:tc>
          <w:tcPr>
            <w:tcW w:w="480" w:type="dxa"/>
            <w:vAlign w:val="bottom"/>
            <w:tcBorders>
              <w:bottom w:val="single" w:sz="8" w:color="F1F2F2"/>
            </w:tcBorders>
            <w:shd w:val="clear" w:color="auto" w:fill="F1F2F2"/>
          </w:tcPr>
          <w:p>
            <w:pPr>
              <w:spacing w:after="0"/>
              <w:rPr>
                <w:sz w:val="17"/>
                <w:szCs w:val="17"/>
                <w:color w:val="auto"/>
              </w:rPr>
            </w:pPr>
          </w:p>
        </w:tc>
        <w:tc>
          <w:tcPr>
            <w:tcW w:w="480" w:type="dxa"/>
            <w:vAlign w:val="bottom"/>
            <w:tcBorders>
              <w:bottom w:val="single" w:sz="8" w:color="F1F2F2"/>
            </w:tcBorders>
            <w:shd w:val="clear" w:color="auto" w:fill="F1F2F2"/>
          </w:tcPr>
          <w:p>
            <w:pPr>
              <w:spacing w:after="0"/>
              <w:rPr>
                <w:sz w:val="17"/>
                <w:szCs w:val="17"/>
                <w:color w:val="auto"/>
              </w:rPr>
            </w:pPr>
          </w:p>
        </w:tc>
        <w:tc>
          <w:tcPr>
            <w:tcW w:w="500" w:type="dxa"/>
            <w:vAlign w:val="bottom"/>
            <w:tcBorders>
              <w:bottom w:val="single" w:sz="8" w:color="F1F2F2"/>
            </w:tcBorders>
            <w:shd w:val="clear" w:color="auto" w:fill="F1F2F2"/>
          </w:tcPr>
          <w:p>
            <w:pPr>
              <w:spacing w:after="0"/>
              <w:rPr>
                <w:sz w:val="17"/>
                <w:szCs w:val="17"/>
                <w:color w:val="auto"/>
              </w:rPr>
            </w:pPr>
          </w:p>
        </w:tc>
        <w:tc>
          <w:tcPr>
            <w:tcW w:w="100" w:type="dxa"/>
            <w:vAlign w:val="bottom"/>
            <w:tcBorders>
              <w:bottom w:val="single" w:sz="8" w:color="F1F2F2"/>
            </w:tcBorders>
            <w:shd w:val="clear" w:color="auto" w:fill="F1F2F2"/>
          </w:tcPr>
          <w:p>
            <w:pPr>
              <w:spacing w:after="0"/>
              <w:rPr>
                <w:sz w:val="17"/>
                <w:szCs w:val="17"/>
                <w:color w:val="auto"/>
              </w:rPr>
            </w:pPr>
          </w:p>
        </w:tc>
        <w:tc>
          <w:tcPr>
            <w:tcW w:w="380" w:type="dxa"/>
            <w:vAlign w:val="bottom"/>
            <w:tcBorders>
              <w:bottom w:val="single" w:sz="8" w:color="F1F2F2"/>
            </w:tcBorders>
            <w:shd w:val="clear" w:color="auto" w:fill="F1F2F2"/>
          </w:tcPr>
          <w:p>
            <w:pPr>
              <w:spacing w:after="0"/>
              <w:rPr>
                <w:sz w:val="17"/>
                <w:szCs w:val="17"/>
                <w:color w:val="auto"/>
              </w:rPr>
            </w:pPr>
          </w:p>
        </w:tc>
        <w:tc>
          <w:tcPr>
            <w:tcW w:w="480" w:type="dxa"/>
            <w:vAlign w:val="bottom"/>
            <w:tcBorders>
              <w:bottom w:val="single" w:sz="8" w:color="F1F2F2"/>
            </w:tcBorders>
            <w:shd w:val="clear" w:color="auto" w:fill="F1F2F2"/>
          </w:tcPr>
          <w:p>
            <w:pPr>
              <w:spacing w:after="0"/>
              <w:rPr>
                <w:sz w:val="17"/>
                <w:szCs w:val="17"/>
                <w:color w:val="auto"/>
              </w:rPr>
            </w:pPr>
          </w:p>
        </w:tc>
        <w:tc>
          <w:tcPr>
            <w:tcW w:w="100" w:type="dxa"/>
            <w:vAlign w:val="bottom"/>
            <w:tcBorders>
              <w:bottom w:val="single" w:sz="8" w:color="F1F2F2"/>
            </w:tcBorders>
            <w:shd w:val="clear" w:color="auto" w:fill="F1F2F2"/>
          </w:tcPr>
          <w:p>
            <w:pPr>
              <w:spacing w:after="0"/>
              <w:rPr>
                <w:sz w:val="17"/>
                <w:szCs w:val="17"/>
                <w:color w:val="auto"/>
              </w:rPr>
            </w:pPr>
          </w:p>
        </w:tc>
        <w:tc>
          <w:tcPr>
            <w:tcW w:w="400" w:type="dxa"/>
            <w:vAlign w:val="bottom"/>
            <w:tcBorders>
              <w:bottom w:val="single" w:sz="8" w:color="F1F2F2"/>
            </w:tcBorders>
            <w:shd w:val="clear" w:color="auto" w:fill="F1F2F2"/>
          </w:tcPr>
          <w:p>
            <w:pPr>
              <w:spacing w:after="0"/>
              <w:rPr>
                <w:sz w:val="17"/>
                <w:szCs w:val="17"/>
                <w:color w:val="auto"/>
              </w:rPr>
            </w:pPr>
          </w:p>
        </w:tc>
        <w:tc>
          <w:tcPr>
            <w:tcW w:w="12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4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2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4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20" w:type="dxa"/>
            <w:vAlign w:val="bottom"/>
            <w:tcBorders>
              <w:bottom w:val="single" w:sz="8" w:color="F1F2F2"/>
            </w:tcBorders>
            <w:shd w:val="clear" w:color="auto" w:fill="F1F2F2"/>
          </w:tcPr>
          <w:p>
            <w:pPr>
              <w:spacing w:after="0"/>
              <w:rPr>
                <w:sz w:val="17"/>
                <w:szCs w:val="17"/>
                <w:color w:val="auto"/>
              </w:rPr>
            </w:pPr>
          </w:p>
        </w:tc>
        <w:tc>
          <w:tcPr>
            <w:tcW w:w="360" w:type="dxa"/>
            <w:vAlign w:val="bottom"/>
            <w:tcBorders>
              <w:bottom w:val="single" w:sz="8" w:color="F1F2F2"/>
            </w:tcBorders>
            <w:shd w:val="clear" w:color="auto" w:fill="F1F2F2"/>
          </w:tcPr>
          <w:p>
            <w:pPr>
              <w:spacing w:after="0"/>
              <w:rPr>
                <w:sz w:val="17"/>
                <w:szCs w:val="17"/>
                <w:color w:val="auto"/>
              </w:rPr>
            </w:pPr>
          </w:p>
        </w:tc>
        <w:tc>
          <w:tcPr>
            <w:tcW w:w="140" w:type="dxa"/>
            <w:vAlign w:val="bottom"/>
            <w:tcBorders>
              <w:bottom w:val="single" w:sz="8" w:color="F1F2F2"/>
            </w:tcBorders>
            <w:shd w:val="clear" w:color="auto" w:fill="F1F2F2"/>
          </w:tcPr>
          <w:p>
            <w:pPr>
              <w:spacing w:after="0"/>
              <w:rPr>
                <w:sz w:val="17"/>
                <w:szCs w:val="17"/>
                <w:color w:val="auto"/>
              </w:rPr>
            </w:pPr>
          </w:p>
        </w:tc>
        <w:tc>
          <w:tcPr>
            <w:tcW w:w="420" w:type="dxa"/>
            <w:vAlign w:val="bottom"/>
            <w:tcBorders>
              <w:bottom w:val="single" w:sz="8" w:color="F1F2F2"/>
            </w:tcBorders>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43776"/>
          </w:tcPr>
          <w:p>
            <w:pPr>
              <w:spacing w:after="0" w:line="20" w:lineRule="exact"/>
              <w:rPr>
                <w:sz w:val="1"/>
                <w:szCs w:val="1"/>
                <w:color w:val="auto"/>
              </w:rPr>
            </w:pPr>
          </w:p>
        </w:tc>
        <w:tc>
          <w:tcPr>
            <w:tcW w:w="1100" w:type="dxa"/>
            <w:vAlign w:val="bottom"/>
            <w:shd w:val="clear" w:color="auto" w:fill="C43776"/>
          </w:tcPr>
          <w:p>
            <w:pPr>
              <w:spacing w:after="0" w:line="20" w:lineRule="exact"/>
              <w:rPr>
                <w:sz w:val="1"/>
                <w:szCs w:val="1"/>
                <w:color w:val="auto"/>
              </w:rPr>
            </w:pPr>
          </w:p>
        </w:tc>
        <w:tc>
          <w:tcPr>
            <w:tcW w:w="500" w:type="dxa"/>
            <w:vAlign w:val="bottom"/>
            <w:shd w:val="clear" w:color="auto" w:fill="C43776"/>
          </w:tcPr>
          <w:p>
            <w:pPr>
              <w:spacing w:after="0" w:line="20" w:lineRule="exact"/>
              <w:rPr>
                <w:sz w:val="1"/>
                <w:szCs w:val="1"/>
                <w:color w:val="auto"/>
              </w:rPr>
            </w:pPr>
          </w:p>
        </w:tc>
        <w:tc>
          <w:tcPr>
            <w:tcW w:w="500" w:type="dxa"/>
            <w:vAlign w:val="bottom"/>
            <w:shd w:val="clear" w:color="auto" w:fill="C43776"/>
          </w:tcPr>
          <w:p>
            <w:pPr>
              <w:spacing w:after="0" w:line="20" w:lineRule="exact"/>
              <w:rPr>
                <w:sz w:val="1"/>
                <w:szCs w:val="1"/>
                <w:color w:val="auto"/>
              </w:rPr>
            </w:pPr>
          </w:p>
        </w:tc>
        <w:tc>
          <w:tcPr>
            <w:tcW w:w="480" w:type="dxa"/>
            <w:vAlign w:val="bottom"/>
            <w:shd w:val="clear" w:color="auto" w:fill="C43776"/>
          </w:tcPr>
          <w:p>
            <w:pPr>
              <w:spacing w:after="0" w:line="20" w:lineRule="exact"/>
              <w:rPr>
                <w:sz w:val="1"/>
                <w:szCs w:val="1"/>
                <w:color w:val="auto"/>
              </w:rPr>
            </w:pPr>
          </w:p>
        </w:tc>
        <w:tc>
          <w:tcPr>
            <w:tcW w:w="480" w:type="dxa"/>
            <w:vAlign w:val="bottom"/>
            <w:shd w:val="clear" w:color="auto" w:fill="C43776"/>
          </w:tcPr>
          <w:p>
            <w:pPr>
              <w:spacing w:after="0" w:line="20" w:lineRule="exact"/>
              <w:rPr>
                <w:sz w:val="1"/>
                <w:szCs w:val="1"/>
                <w:color w:val="auto"/>
              </w:rPr>
            </w:pPr>
          </w:p>
        </w:tc>
        <w:tc>
          <w:tcPr>
            <w:tcW w:w="500" w:type="dxa"/>
            <w:vAlign w:val="bottom"/>
            <w:shd w:val="clear" w:color="auto" w:fill="C43776"/>
          </w:tcPr>
          <w:p>
            <w:pPr>
              <w:spacing w:after="0" w:line="20" w:lineRule="exact"/>
              <w:rPr>
                <w:sz w:val="1"/>
                <w:szCs w:val="1"/>
                <w:color w:val="auto"/>
              </w:rPr>
            </w:pPr>
          </w:p>
        </w:tc>
        <w:tc>
          <w:tcPr>
            <w:tcW w:w="100" w:type="dxa"/>
            <w:vAlign w:val="bottom"/>
            <w:shd w:val="clear" w:color="auto" w:fill="C43776"/>
          </w:tcPr>
          <w:p>
            <w:pPr>
              <w:spacing w:after="0" w:line="20" w:lineRule="exact"/>
              <w:rPr>
                <w:sz w:val="1"/>
                <w:szCs w:val="1"/>
                <w:color w:val="auto"/>
              </w:rPr>
            </w:pPr>
          </w:p>
        </w:tc>
        <w:tc>
          <w:tcPr>
            <w:tcW w:w="380" w:type="dxa"/>
            <w:vAlign w:val="bottom"/>
            <w:shd w:val="clear" w:color="auto" w:fill="C43776"/>
          </w:tcPr>
          <w:p>
            <w:pPr>
              <w:spacing w:after="0" w:line="20" w:lineRule="exact"/>
              <w:rPr>
                <w:sz w:val="1"/>
                <w:szCs w:val="1"/>
                <w:color w:val="auto"/>
              </w:rPr>
            </w:pPr>
          </w:p>
        </w:tc>
        <w:tc>
          <w:tcPr>
            <w:tcW w:w="480" w:type="dxa"/>
            <w:vAlign w:val="bottom"/>
            <w:shd w:val="clear" w:color="auto" w:fill="C43776"/>
          </w:tcPr>
          <w:p>
            <w:pPr>
              <w:spacing w:after="0" w:line="20" w:lineRule="exact"/>
              <w:rPr>
                <w:sz w:val="1"/>
                <w:szCs w:val="1"/>
                <w:color w:val="auto"/>
              </w:rPr>
            </w:pPr>
          </w:p>
        </w:tc>
        <w:tc>
          <w:tcPr>
            <w:tcW w:w="100" w:type="dxa"/>
            <w:vAlign w:val="bottom"/>
            <w:shd w:val="clear" w:color="auto" w:fill="C43776"/>
          </w:tcPr>
          <w:p>
            <w:pPr>
              <w:spacing w:after="0" w:line="20" w:lineRule="exact"/>
              <w:rPr>
                <w:sz w:val="1"/>
                <w:szCs w:val="1"/>
                <w:color w:val="auto"/>
              </w:rPr>
            </w:pPr>
          </w:p>
        </w:tc>
        <w:tc>
          <w:tcPr>
            <w:tcW w:w="400" w:type="dxa"/>
            <w:vAlign w:val="bottom"/>
            <w:shd w:val="clear" w:color="auto" w:fill="C43776"/>
          </w:tcPr>
          <w:p>
            <w:pPr>
              <w:spacing w:after="0" w:line="20" w:lineRule="exact"/>
              <w:rPr>
                <w:sz w:val="1"/>
                <w:szCs w:val="1"/>
                <w:color w:val="auto"/>
              </w:rPr>
            </w:pPr>
          </w:p>
        </w:tc>
        <w:tc>
          <w:tcPr>
            <w:tcW w:w="120" w:type="dxa"/>
            <w:vAlign w:val="bottom"/>
            <w:shd w:val="clear" w:color="auto" w:fill="C43776"/>
          </w:tcPr>
          <w:p>
            <w:pPr>
              <w:spacing w:after="0" w:line="20" w:lineRule="exact"/>
              <w:rPr>
                <w:sz w:val="1"/>
                <w:szCs w:val="1"/>
                <w:color w:val="auto"/>
              </w:rPr>
            </w:pPr>
          </w:p>
        </w:tc>
        <w:tc>
          <w:tcPr>
            <w:tcW w:w="360" w:type="dxa"/>
            <w:vAlign w:val="bottom"/>
            <w:shd w:val="clear" w:color="auto" w:fill="C43776"/>
          </w:tcPr>
          <w:p>
            <w:pPr>
              <w:spacing w:after="0" w:line="20" w:lineRule="exact"/>
              <w:rPr>
                <w:sz w:val="1"/>
                <w:szCs w:val="1"/>
                <w:color w:val="auto"/>
              </w:rPr>
            </w:pPr>
          </w:p>
        </w:tc>
        <w:tc>
          <w:tcPr>
            <w:tcW w:w="140" w:type="dxa"/>
            <w:vAlign w:val="bottom"/>
            <w:shd w:val="clear" w:color="auto" w:fill="C43776"/>
          </w:tcPr>
          <w:p>
            <w:pPr>
              <w:spacing w:after="0" w:line="20" w:lineRule="exact"/>
              <w:rPr>
                <w:sz w:val="1"/>
                <w:szCs w:val="1"/>
                <w:color w:val="auto"/>
              </w:rPr>
            </w:pPr>
          </w:p>
        </w:tc>
        <w:tc>
          <w:tcPr>
            <w:tcW w:w="340" w:type="dxa"/>
            <w:vAlign w:val="bottom"/>
            <w:shd w:val="clear" w:color="auto" w:fill="C43776"/>
          </w:tcPr>
          <w:p>
            <w:pPr>
              <w:spacing w:after="0" w:line="20" w:lineRule="exact"/>
              <w:rPr>
                <w:sz w:val="1"/>
                <w:szCs w:val="1"/>
                <w:color w:val="auto"/>
              </w:rPr>
            </w:pPr>
          </w:p>
        </w:tc>
        <w:tc>
          <w:tcPr>
            <w:tcW w:w="140" w:type="dxa"/>
            <w:vAlign w:val="bottom"/>
            <w:shd w:val="clear" w:color="auto" w:fill="C43776"/>
          </w:tcPr>
          <w:p>
            <w:pPr>
              <w:spacing w:after="0" w:line="20" w:lineRule="exact"/>
              <w:rPr>
                <w:sz w:val="1"/>
                <w:szCs w:val="1"/>
                <w:color w:val="auto"/>
              </w:rPr>
            </w:pPr>
          </w:p>
        </w:tc>
        <w:tc>
          <w:tcPr>
            <w:tcW w:w="360" w:type="dxa"/>
            <w:vAlign w:val="bottom"/>
            <w:shd w:val="clear" w:color="auto" w:fill="C43776"/>
          </w:tcPr>
          <w:p>
            <w:pPr>
              <w:spacing w:after="0" w:line="20" w:lineRule="exact"/>
              <w:rPr>
                <w:sz w:val="1"/>
                <w:szCs w:val="1"/>
                <w:color w:val="auto"/>
              </w:rPr>
            </w:pPr>
          </w:p>
        </w:tc>
        <w:tc>
          <w:tcPr>
            <w:tcW w:w="120" w:type="dxa"/>
            <w:vAlign w:val="bottom"/>
            <w:shd w:val="clear" w:color="auto" w:fill="C43776"/>
          </w:tcPr>
          <w:p>
            <w:pPr>
              <w:spacing w:after="0" w:line="20" w:lineRule="exact"/>
              <w:rPr>
                <w:sz w:val="1"/>
                <w:szCs w:val="1"/>
                <w:color w:val="auto"/>
              </w:rPr>
            </w:pPr>
          </w:p>
        </w:tc>
        <w:tc>
          <w:tcPr>
            <w:tcW w:w="360" w:type="dxa"/>
            <w:vAlign w:val="bottom"/>
            <w:shd w:val="clear" w:color="auto" w:fill="C43776"/>
          </w:tcPr>
          <w:p>
            <w:pPr>
              <w:spacing w:after="0" w:line="20" w:lineRule="exact"/>
              <w:rPr>
                <w:sz w:val="1"/>
                <w:szCs w:val="1"/>
                <w:color w:val="auto"/>
              </w:rPr>
            </w:pPr>
          </w:p>
        </w:tc>
        <w:tc>
          <w:tcPr>
            <w:tcW w:w="140" w:type="dxa"/>
            <w:vAlign w:val="bottom"/>
            <w:shd w:val="clear" w:color="auto" w:fill="C43776"/>
          </w:tcPr>
          <w:p>
            <w:pPr>
              <w:spacing w:after="0" w:line="20" w:lineRule="exact"/>
              <w:rPr>
                <w:sz w:val="1"/>
                <w:szCs w:val="1"/>
                <w:color w:val="auto"/>
              </w:rPr>
            </w:pPr>
          </w:p>
        </w:tc>
        <w:tc>
          <w:tcPr>
            <w:tcW w:w="340" w:type="dxa"/>
            <w:vAlign w:val="bottom"/>
            <w:shd w:val="clear" w:color="auto" w:fill="C43776"/>
          </w:tcPr>
          <w:p>
            <w:pPr>
              <w:spacing w:after="0" w:line="20" w:lineRule="exact"/>
              <w:rPr>
                <w:sz w:val="1"/>
                <w:szCs w:val="1"/>
                <w:color w:val="auto"/>
              </w:rPr>
            </w:pPr>
          </w:p>
        </w:tc>
        <w:tc>
          <w:tcPr>
            <w:tcW w:w="140" w:type="dxa"/>
            <w:vAlign w:val="bottom"/>
            <w:shd w:val="clear" w:color="auto" w:fill="C43776"/>
          </w:tcPr>
          <w:p>
            <w:pPr>
              <w:spacing w:after="0" w:line="20" w:lineRule="exact"/>
              <w:rPr>
                <w:sz w:val="1"/>
                <w:szCs w:val="1"/>
                <w:color w:val="auto"/>
              </w:rPr>
            </w:pPr>
          </w:p>
        </w:tc>
        <w:tc>
          <w:tcPr>
            <w:tcW w:w="360" w:type="dxa"/>
            <w:vAlign w:val="bottom"/>
            <w:shd w:val="clear" w:color="auto" w:fill="C43776"/>
          </w:tcPr>
          <w:p>
            <w:pPr>
              <w:spacing w:after="0" w:line="20" w:lineRule="exact"/>
              <w:rPr>
                <w:sz w:val="1"/>
                <w:szCs w:val="1"/>
                <w:color w:val="auto"/>
              </w:rPr>
            </w:pPr>
          </w:p>
        </w:tc>
        <w:tc>
          <w:tcPr>
            <w:tcW w:w="120" w:type="dxa"/>
            <w:vAlign w:val="bottom"/>
            <w:shd w:val="clear" w:color="auto" w:fill="C43776"/>
          </w:tcPr>
          <w:p>
            <w:pPr>
              <w:spacing w:after="0" w:line="20" w:lineRule="exact"/>
              <w:rPr>
                <w:sz w:val="1"/>
                <w:szCs w:val="1"/>
                <w:color w:val="auto"/>
              </w:rPr>
            </w:pPr>
          </w:p>
        </w:tc>
        <w:tc>
          <w:tcPr>
            <w:tcW w:w="360" w:type="dxa"/>
            <w:vAlign w:val="bottom"/>
            <w:shd w:val="clear" w:color="auto" w:fill="C43776"/>
          </w:tcPr>
          <w:p>
            <w:pPr>
              <w:spacing w:after="0" w:line="20" w:lineRule="exact"/>
              <w:rPr>
                <w:sz w:val="1"/>
                <w:szCs w:val="1"/>
                <w:color w:val="auto"/>
              </w:rPr>
            </w:pPr>
          </w:p>
        </w:tc>
        <w:tc>
          <w:tcPr>
            <w:tcW w:w="140" w:type="dxa"/>
            <w:vAlign w:val="bottom"/>
            <w:shd w:val="clear" w:color="auto" w:fill="C43776"/>
          </w:tcPr>
          <w:p>
            <w:pPr>
              <w:spacing w:after="0" w:line="20" w:lineRule="exact"/>
              <w:rPr>
                <w:sz w:val="1"/>
                <w:szCs w:val="1"/>
                <w:color w:val="auto"/>
              </w:rPr>
            </w:pPr>
          </w:p>
        </w:tc>
        <w:tc>
          <w:tcPr>
            <w:tcW w:w="420" w:type="dxa"/>
            <w:vAlign w:val="bottom"/>
            <w:shd w:val="clear" w:color="auto" w:fill="C4377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340" w:right="240" w:hanging="332"/>
        <w:spacing w:after="0" w:line="229" w:lineRule="auto"/>
        <w:tabs>
          <w:tab w:leader="none" w:pos="34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Beginning in 2020, the Company included integration and deal related costs in its definition to calculate adjusted net income and adjusted net income per diluted share. Prior period amounts were immaterial.</w:t>
      </w:r>
    </w:p>
    <w:p>
      <w:pPr>
        <w:spacing w:after="0" w:line="25" w:lineRule="exact"/>
        <w:rPr>
          <w:rFonts w:ascii="Arial" w:cs="Arial" w:eastAsia="Arial" w:hAnsi="Arial"/>
          <w:sz w:val="13"/>
          <w:szCs w:val="13"/>
          <w:i w:val="1"/>
          <w:iCs w:val="1"/>
          <w:color w:val="auto"/>
        </w:rPr>
      </w:pPr>
    </w:p>
    <w:p>
      <w:pPr>
        <w:ind w:left="340" w:hanging="332"/>
        <w:spacing w:after="0"/>
        <w:tabs>
          <w:tab w:leader="none" w:pos="34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The sums of pre-tax adjustments and adjusted net income may not equal the totals presented due to rounding.</w:t>
      </w:r>
    </w:p>
    <w:p>
      <w:pPr>
        <w:spacing w:after="0" w:line="39" w:lineRule="exact"/>
        <w:rPr>
          <w:rFonts w:ascii="Arial" w:cs="Arial" w:eastAsia="Arial" w:hAnsi="Arial"/>
          <w:sz w:val="13"/>
          <w:szCs w:val="13"/>
          <w:i w:val="1"/>
          <w:iCs w:val="1"/>
          <w:color w:val="auto"/>
        </w:rPr>
      </w:pPr>
    </w:p>
    <w:p>
      <w:pPr>
        <w:ind w:left="340" w:right="100" w:hanging="332"/>
        <w:spacing w:after="0" w:line="217" w:lineRule="auto"/>
        <w:tabs>
          <w:tab w:leader="none" w:pos="34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provision for income taxes of pre-tax adjustments. 2022 year includes $9.0 million adjustment for tax benefit of certain income determined to be permanently invested. 2021 year includes remeasurement of deferreds due to the increase in U.K. corporate tax rate from 19% to 25% of $6.5 million. 2020 year includes a tax reserve adjustment related to prior year tax positions of $9.8 million. 2019 year includes discrete tax effect of non-cash investment gain. 2019 also excludes the results of the Company's Masternaut investment on our effective tax rate, as results were reported on a post-tax basis and no tax-over-book outside basis difference prior to disposition. 2017 year excludes the net gain realized upon our disposition of Nextraq, representing a pretax gain of $175.0 million and tax on gain of $65.8 million. 2014 through 2017 years exclude the results of our equity method investment on our effective tax rate, as results from our equity method investment are reported within the Consolidated Income Statements on a post-tax basis and no tax-over-book outside basis differences related to our equity method investment are expected to reverse. 2024 excludes the net gain realized upon disposition and impact of 2024 discrete tax item.</w:t>
      </w:r>
    </w:p>
    <w:p>
      <w:pPr>
        <w:spacing w:after="0" w:line="25" w:lineRule="exact"/>
        <w:rPr>
          <w:rFonts w:ascii="Arial" w:cs="Arial" w:eastAsia="Arial" w:hAnsi="Arial"/>
          <w:sz w:val="13"/>
          <w:szCs w:val="13"/>
          <w:i w:val="1"/>
          <w:iCs w:val="1"/>
          <w:color w:val="auto"/>
        </w:rPr>
      </w:pPr>
    </w:p>
    <w:p>
      <w:pPr>
        <w:ind w:left="340" w:right="20" w:hanging="332"/>
        <w:spacing w:after="0" w:line="221" w:lineRule="auto"/>
        <w:tabs>
          <w:tab w:leader="none" w:pos="34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impact to taxes from the reversal of a valuation allowance related to the disposition of our investment in Masternaut of $65.7 million in 2019, and impact of tax reform adjustments included in our effective tax rate of $22.7 million in 2018. Also, includes the impact of a discrete tax item for a Section 199 adjustment related to a prior tax year in 2019 results of $1.8 million. For 2024, represents discrete non-cash tax provision recognized in the fourth quarter of 2024 related to a prior tax planning strategy and taxes on net gain realized upon disposition of our merchant solutions business within U.S. Vehicle Payments of $47.8 million.</w:t>
      </w:r>
    </w:p>
    <w:p>
      <w:pPr>
        <w:spacing w:after="0" w:line="27" w:lineRule="exact"/>
        <w:rPr>
          <w:rFonts w:ascii="Arial" w:cs="Arial" w:eastAsia="Arial" w:hAnsi="Arial"/>
          <w:sz w:val="13"/>
          <w:szCs w:val="13"/>
          <w:i w:val="1"/>
          <w:iCs w:val="1"/>
          <w:color w:val="auto"/>
        </w:rPr>
      </w:pPr>
    </w:p>
    <w:p>
      <w:pPr>
        <w:ind w:left="340" w:right="120" w:hanging="332"/>
        <w:spacing w:after="0"/>
        <w:tabs>
          <w:tab w:leader="none" w:pos="34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 bad debt loss in the first quarter of 2020 from a large client in our Cambridge business entering voluntary bankruptcy due to the extraordinary impact of the COVID-19 pandemic.</w:t>
      </w:r>
    </w:p>
    <w:p>
      <w:pPr>
        <w:spacing w:after="0" w:line="25" w:lineRule="exact"/>
        <w:rPr>
          <w:rFonts w:ascii="Arial" w:cs="Arial" w:eastAsia="Arial" w:hAnsi="Arial"/>
          <w:sz w:val="13"/>
          <w:szCs w:val="13"/>
          <w:i w:val="1"/>
          <w:iCs w:val="1"/>
          <w:color w:val="auto"/>
        </w:rPr>
      </w:pPr>
    </w:p>
    <w:p>
      <w:pPr>
        <w:ind w:left="340" w:hanging="332"/>
        <w:spacing w:after="0"/>
        <w:tabs>
          <w:tab w:leader="none" w:pos="34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amortization related to intangible assets, premium on receivables, deferred financing costs, and debt discounts.</w:t>
      </w:r>
    </w:p>
    <w:p>
      <w:pPr>
        <w:spacing w:after="0" w:line="200" w:lineRule="exact"/>
        <w:rPr>
          <w:sz w:val="20"/>
          <w:szCs w:val="20"/>
          <w:color w:val="auto"/>
        </w:rPr>
      </w:pPr>
    </w:p>
    <w:p>
      <w:pPr>
        <w:spacing w:after="0" w:line="386" w:lineRule="exact"/>
        <w:rPr>
          <w:sz w:val="20"/>
          <w:szCs w:val="20"/>
          <w:color w:val="auto"/>
        </w:rPr>
      </w:pPr>
    </w:p>
    <w:p>
      <w:pPr>
        <w:ind w:left="5860"/>
        <w:spacing w:after="0"/>
        <w:tabs>
          <w:tab w:leader="none" w:pos="8860" w:val="left"/>
        </w:tabs>
        <w:rPr>
          <w:sz w:val="20"/>
          <w:szCs w:val="20"/>
          <w:color w:val="auto"/>
        </w:rPr>
      </w:pPr>
      <w:r>
        <w:rPr>
          <w:rFonts w:ascii="Arial" w:cs="Arial" w:eastAsia="Arial" w:hAnsi="Arial"/>
          <w:sz w:val="13"/>
          <w:szCs w:val="13"/>
          <w:color w:val="auto"/>
        </w:rPr>
        <w:t>2026 Notice of Annual Meeting &amp; Proxy Statement</w:t>
      </w:r>
      <w:r>
        <w:rPr>
          <w:sz w:val="20"/>
          <w:szCs w:val="20"/>
          <w:color w:val="auto"/>
        </w:rPr>
        <w:tab/>
      </w:r>
      <w:r>
        <w:rPr>
          <w:rFonts w:ascii="Arial" w:cs="Arial" w:eastAsia="Arial" w:hAnsi="Arial"/>
          <w:sz w:val="14"/>
          <w:szCs w:val="14"/>
          <w:b w:val="1"/>
          <w:bCs w:val="1"/>
          <w:color w:val="2C6EC4"/>
        </w:rPr>
        <w:t>79</w:t>
      </w:r>
    </w:p>
    <w:p>
      <w:pPr>
        <w:sectPr>
          <w:pgSz w:w="11900" w:h="16838" w:orient="portrait"/>
          <w:cols w:equalWidth="0" w:num="1">
            <w:col w:w="9080"/>
          </w:cols>
          <w:pgMar w:left="1400" w:top="729" w:right="1419" w:bottom="1440" w:gutter="0" w:footer="0" w:header="0"/>
        </w:sectPr>
      </w:pPr>
    </w:p>
    <w:bookmarkStart w:id="85" w:name="page86"/>
    <w:bookmarkEnd w:id="85"/>
    <w:p>
      <w:pPr>
        <w:ind w:left="60"/>
        <w:spacing w:after="0"/>
        <w:tabs>
          <w:tab w:leader="none" w:pos="8040" w:val="left"/>
        </w:tabs>
        <w:rPr>
          <w:sz w:val="20"/>
          <w:szCs w:val="20"/>
          <w:color w:val="auto"/>
        </w:rPr>
      </w:pPr>
      <w:r>
        <w:rPr>
          <w:rFonts w:ascii="Arial" w:cs="Arial" w:eastAsia="Arial" w:hAnsi="Arial"/>
          <w:sz w:val="13"/>
          <w:szCs w:val="13"/>
          <w:b w:val="1"/>
          <w:bCs w:val="1"/>
          <w:color w:val="582D43"/>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23. APPENDIX A</w:t>
      </w:r>
      <w:r>
        <w:rPr>
          <w:sz w:val="20"/>
          <w:szCs w:val="20"/>
          <w:color w:val="auto"/>
        </w:rPr>
        <w:tab/>
      </w:r>
      <w:r>
        <w:rPr>
          <w:rFonts w:ascii="Arial" w:cs="Arial" w:eastAsia="Arial" w:hAnsi="Arial"/>
          <w:sz w:val="12"/>
          <w:szCs w:val="1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auto"/>
        </w:rPr>
        <w:t>Reconciliation of Net Income to Pro Forma Adjusted Net Income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 in millions*,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100" w:type="dxa"/>
            <w:vAlign w:val="bottom"/>
            <w:shd w:val="clear" w:color="auto" w:fill="C43776"/>
          </w:tcPr>
          <w:p>
            <w:pPr>
              <w:spacing w:after="0"/>
              <w:rPr>
                <w:sz w:val="24"/>
                <w:szCs w:val="24"/>
                <w:color w:val="auto"/>
              </w:rPr>
            </w:pPr>
          </w:p>
        </w:tc>
        <w:tc>
          <w:tcPr>
            <w:tcW w:w="3100" w:type="dxa"/>
            <w:vAlign w:val="bottom"/>
            <w:shd w:val="clear" w:color="auto" w:fill="C43776"/>
          </w:tcPr>
          <w:p>
            <w:pPr>
              <w:spacing w:after="0"/>
              <w:rPr>
                <w:sz w:val="24"/>
                <w:szCs w:val="24"/>
                <w:color w:val="auto"/>
              </w:rPr>
            </w:pPr>
          </w:p>
        </w:tc>
        <w:tc>
          <w:tcPr>
            <w:tcW w:w="2480" w:type="dxa"/>
            <w:vAlign w:val="bottom"/>
            <w:shd w:val="clear" w:color="auto" w:fill="C43776"/>
          </w:tcPr>
          <w:p>
            <w:pPr>
              <w:jc w:val="right"/>
              <w:ind w:right="368"/>
              <w:spacing w:after="0"/>
              <w:rPr>
                <w:sz w:val="20"/>
                <w:szCs w:val="20"/>
                <w:color w:val="auto"/>
              </w:rPr>
            </w:pPr>
            <w:r>
              <w:rPr>
                <w:rFonts w:ascii="Arial" w:cs="Arial" w:eastAsia="Arial" w:hAnsi="Arial"/>
                <w:sz w:val="14"/>
                <w:szCs w:val="14"/>
                <w:b w:val="1"/>
                <w:bCs w:val="1"/>
                <w:color w:val="FFFFFF"/>
              </w:rPr>
              <w:t>Year Ended 2010</w:t>
            </w:r>
          </w:p>
        </w:tc>
        <w:tc>
          <w:tcPr>
            <w:tcW w:w="1800" w:type="dxa"/>
            <w:vAlign w:val="bottom"/>
            <w:shd w:val="clear" w:color="auto" w:fill="C43776"/>
          </w:tcPr>
          <w:p>
            <w:pPr>
              <w:jc w:val="right"/>
              <w:ind w:right="328"/>
              <w:spacing w:after="0"/>
              <w:rPr>
                <w:sz w:val="20"/>
                <w:szCs w:val="20"/>
                <w:color w:val="auto"/>
              </w:rPr>
            </w:pPr>
            <w:r>
              <w:rPr>
                <w:rFonts w:ascii="Arial" w:cs="Arial" w:eastAsia="Arial" w:hAnsi="Arial"/>
                <w:sz w:val="14"/>
                <w:szCs w:val="14"/>
                <w:b w:val="1"/>
                <w:bCs w:val="1"/>
                <w:color w:val="FFFFFF"/>
              </w:rPr>
              <w:t>2011 Changes</w:t>
            </w:r>
          </w:p>
        </w:tc>
        <w:tc>
          <w:tcPr>
            <w:tcW w:w="1600" w:type="dxa"/>
            <w:vAlign w:val="bottom"/>
            <w:shd w:val="clear" w:color="auto" w:fill="C43776"/>
          </w:tcPr>
          <w:p>
            <w:pPr>
              <w:jc w:val="right"/>
              <w:ind w:right="68"/>
              <w:spacing w:after="0"/>
              <w:rPr>
                <w:sz w:val="20"/>
                <w:szCs w:val="20"/>
                <w:color w:val="auto"/>
              </w:rPr>
            </w:pPr>
            <w:r>
              <w:rPr>
                <w:rFonts w:ascii="Arial" w:cs="Arial" w:eastAsia="Arial" w:hAnsi="Arial"/>
                <w:sz w:val="14"/>
                <w:szCs w:val="14"/>
                <w:b w:val="1"/>
                <w:bCs w:val="1"/>
                <w:color w:val="FFFFFF"/>
              </w:rPr>
              <w:t>Pro Forma 2010</w:t>
            </w:r>
          </w:p>
        </w:tc>
        <w:tc>
          <w:tcPr>
            <w:tcW w:w="0" w:type="dxa"/>
            <w:vAlign w:val="bottom"/>
          </w:tcPr>
          <w:p>
            <w:pPr>
              <w:spacing w:after="0"/>
              <w:rPr>
                <w:sz w:val="1"/>
                <w:szCs w:val="1"/>
                <w:color w:val="auto"/>
              </w:rPr>
            </w:pPr>
          </w:p>
        </w:tc>
      </w:tr>
      <w:tr>
        <w:trPr>
          <w:trHeight w:val="94"/>
        </w:trPr>
        <w:tc>
          <w:tcPr>
            <w:tcW w:w="100" w:type="dxa"/>
            <w:vAlign w:val="bottom"/>
            <w:shd w:val="clear" w:color="auto" w:fill="C43776"/>
          </w:tcPr>
          <w:p>
            <w:pPr>
              <w:spacing w:after="0"/>
              <w:rPr>
                <w:sz w:val="8"/>
                <w:szCs w:val="8"/>
                <w:color w:val="auto"/>
              </w:rPr>
            </w:pPr>
          </w:p>
        </w:tc>
        <w:tc>
          <w:tcPr>
            <w:tcW w:w="3100" w:type="dxa"/>
            <w:vAlign w:val="bottom"/>
            <w:shd w:val="clear" w:color="auto" w:fill="C43776"/>
          </w:tcPr>
          <w:p>
            <w:pPr>
              <w:spacing w:after="0"/>
              <w:rPr>
                <w:sz w:val="8"/>
                <w:szCs w:val="8"/>
                <w:color w:val="auto"/>
              </w:rPr>
            </w:pPr>
          </w:p>
        </w:tc>
        <w:tc>
          <w:tcPr>
            <w:tcW w:w="2480" w:type="dxa"/>
            <w:vAlign w:val="bottom"/>
            <w:shd w:val="clear" w:color="auto" w:fill="C43776"/>
          </w:tcPr>
          <w:p>
            <w:pPr>
              <w:spacing w:after="0"/>
              <w:rPr>
                <w:sz w:val="8"/>
                <w:szCs w:val="8"/>
                <w:color w:val="auto"/>
              </w:rPr>
            </w:pPr>
          </w:p>
        </w:tc>
        <w:tc>
          <w:tcPr>
            <w:tcW w:w="1800" w:type="dxa"/>
            <w:vAlign w:val="bottom"/>
            <w:shd w:val="clear" w:color="auto" w:fill="C43776"/>
          </w:tcPr>
          <w:p>
            <w:pPr>
              <w:spacing w:after="0"/>
              <w:rPr>
                <w:sz w:val="8"/>
                <w:szCs w:val="8"/>
                <w:color w:val="auto"/>
              </w:rPr>
            </w:pPr>
          </w:p>
        </w:tc>
        <w:tc>
          <w:tcPr>
            <w:tcW w:w="1600" w:type="dxa"/>
            <w:vAlign w:val="bottom"/>
            <w:shd w:val="clear" w:color="auto" w:fill="C43776"/>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480" w:type="dxa"/>
            <w:vAlign w:val="bottom"/>
          </w:tcPr>
          <w:p>
            <w:pPr>
              <w:jc w:val="right"/>
              <w:ind w:right="368"/>
              <w:spacing w:after="0"/>
              <w:rPr>
                <w:sz w:val="20"/>
                <w:szCs w:val="20"/>
                <w:color w:val="auto"/>
              </w:rPr>
            </w:pPr>
            <w:r>
              <w:rPr>
                <w:rFonts w:ascii="Arial" w:cs="Arial" w:eastAsia="Arial" w:hAnsi="Arial"/>
                <w:sz w:val="14"/>
                <w:szCs w:val="14"/>
                <w:color w:val="auto"/>
              </w:rPr>
              <w:t>$151</w:t>
            </w:r>
          </w:p>
        </w:tc>
        <w:tc>
          <w:tcPr>
            <w:tcW w:w="180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310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Provision for income taxes</w:t>
            </w:r>
          </w:p>
        </w:tc>
        <w:tc>
          <w:tcPr>
            <w:tcW w:w="248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43</w:t>
            </w:r>
          </w:p>
        </w:tc>
        <w:tc>
          <w:tcPr>
            <w:tcW w:w="1800" w:type="dxa"/>
            <w:vAlign w:val="bottom"/>
            <w:shd w:val="clear" w:color="auto" w:fill="F1F2F2"/>
          </w:tcPr>
          <w:p>
            <w:pPr>
              <w:jc w:val="right"/>
              <w:ind w:right="328"/>
              <w:spacing w:after="0"/>
              <w:rPr>
                <w:sz w:val="20"/>
                <w:szCs w:val="20"/>
                <w:color w:val="auto"/>
              </w:rPr>
            </w:pPr>
            <w:r>
              <w:rPr>
                <w:rFonts w:ascii="Arial" w:cs="Arial" w:eastAsia="Arial" w:hAnsi="Arial"/>
                <w:sz w:val="14"/>
                <w:szCs w:val="14"/>
                <w:color w:val="auto"/>
              </w:rPr>
              <w:t>2</w:t>
            </w:r>
          </w:p>
        </w:tc>
        <w:tc>
          <w:tcPr>
            <w:tcW w:w="16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70"/>
        </w:trPr>
        <w:tc>
          <w:tcPr>
            <w:tcW w:w="100" w:type="dxa"/>
            <w:vAlign w:val="bottom"/>
            <w:shd w:val="clear" w:color="auto" w:fill="F1F2F2"/>
          </w:tcPr>
          <w:p>
            <w:pPr>
              <w:spacing w:after="0"/>
              <w:rPr>
                <w:sz w:val="6"/>
                <w:szCs w:val="6"/>
                <w:color w:val="auto"/>
              </w:rPr>
            </w:pPr>
          </w:p>
        </w:tc>
        <w:tc>
          <w:tcPr>
            <w:tcW w:w="3100" w:type="dxa"/>
            <w:vAlign w:val="bottom"/>
            <w:shd w:val="clear" w:color="auto" w:fill="F1F2F2"/>
          </w:tcPr>
          <w:p>
            <w:pPr>
              <w:spacing w:after="0"/>
              <w:rPr>
                <w:sz w:val="6"/>
                <w:szCs w:val="6"/>
                <w:color w:val="auto"/>
              </w:rPr>
            </w:pPr>
          </w:p>
        </w:tc>
        <w:tc>
          <w:tcPr>
            <w:tcW w:w="2480" w:type="dxa"/>
            <w:vAlign w:val="bottom"/>
            <w:tcBorders>
              <w:bottom w:val="single" w:sz="8" w:color="C43776"/>
            </w:tcBorders>
            <w:shd w:val="clear" w:color="auto" w:fill="F1F2F2"/>
          </w:tcPr>
          <w:p>
            <w:pPr>
              <w:spacing w:after="0"/>
              <w:rPr>
                <w:sz w:val="6"/>
                <w:szCs w:val="6"/>
                <w:color w:val="auto"/>
              </w:rPr>
            </w:pPr>
          </w:p>
        </w:tc>
        <w:tc>
          <w:tcPr>
            <w:tcW w:w="1800" w:type="dxa"/>
            <w:vAlign w:val="bottom"/>
            <w:tcBorders>
              <w:bottom w:val="single" w:sz="8" w:color="C43776"/>
            </w:tcBorders>
            <w:shd w:val="clear" w:color="auto" w:fill="F1F2F2"/>
          </w:tcPr>
          <w:p>
            <w:pPr>
              <w:spacing w:after="0"/>
              <w:rPr>
                <w:sz w:val="6"/>
                <w:szCs w:val="6"/>
                <w:color w:val="auto"/>
              </w:rPr>
            </w:pPr>
          </w:p>
        </w:tc>
        <w:tc>
          <w:tcPr>
            <w:tcW w:w="1600" w:type="dxa"/>
            <w:vAlign w:val="bottom"/>
            <w:tcBorders>
              <w:bottom w:val="single" w:sz="8" w:color="C43776"/>
            </w:tcBorders>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2480" w:type="dxa"/>
            <w:vAlign w:val="bottom"/>
          </w:tcPr>
          <w:p>
            <w:pPr>
              <w:jc w:val="right"/>
              <w:ind w:right="368"/>
              <w:spacing w:after="0"/>
              <w:rPr>
                <w:sz w:val="20"/>
                <w:szCs w:val="20"/>
                <w:color w:val="auto"/>
              </w:rPr>
            </w:pPr>
            <w:r>
              <w:rPr>
                <w:rFonts w:ascii="Arial" w:cs="Arial" w:eastAsia="Arial" w:hAnsi="Arial"/>
                <w:sz w:val="14"/>
                <w:szCs w:val="14"/>
                <w:color w:val="auto"/>
              </w:rPr>
              <w:t>108</w:t>
            </w:r>
          </w:p>
        </w:tc>
        <w:tc>
          <w:tcPr>
            <w:tcW w:w="1800" w:type="dxa"/>
            <w:vAlign w:val="bottom"/>
          </w:tcPr>
          <w:p>
            <w:pPr>
              <w:jc w:val="right"/>
              <w:ind w:right="328"/>
              <w:spacing w:after="0"/>
              <w:rPr>
                <w:sz w:val="20"/>
                <w:szCs w:val="20"/>
                <w:color w:val="auto"/>
              </w:rPr>
            </w:pPr>
            <w:r>
              <w:rPr>
                <w:rFonts w:ascii="Arial" w:cs="Arial" w:eastAsia="Arial" w:hAnsi="Arial"/>
                <w:sz w:val="14"/>
                <w:szCs w:val="14"/>
                <w:color w:val="auto"/>
              </w:rPr>
              <w:t>(2)</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310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Stock based compensation</w:t>
            </w:r>
          </w:p>
        </w:tc>
        <w:tc>
          <w:tcPr>
            <w:tcW w:w="248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27</w:t>
            </w:r>
          </w:p>
        </w:tc>
        <w:tc>
          <w:tcPr>
            <w:tcW w:w="1800" w:type="dxa"/>
            <w:vAlign w:val="bottom"/>
            <w:shd w:val="clear" w:color="auto" w:fill="F1F2F2"/>
          </w:tcPr>
          <w:p>
            <w:pPr>
              <w:jc w:val="right"/>
              <w:ind w:right="328"/>
              <w:spacing w:after="0"/>
              <w:rPr>
                <w:sz w:val="20"/>
                <w:szCs w:val="20"/>
                <w:color w:val="auto"/>
              </w:rPr>
            </w:pPr>
            <w:r>
              <w:rPr>
                <w:rFonts w:ascii="Arial" w:cs="Arial" w:eastAsia="Arial" w:hAnsi="Arial"/>
                <w:sz w:val="14"/>
                <w:szCs w:val="14"/>
                <w:color w:val="auto"/>
              </w:rPr>
              <w:t>(5)</w:t>
            </w:r>
          </w:p>
        </w:tc>
        <w:tc>
          <w:tcPr>
            <w:tcW w:w="16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0"/>
        </w:trPr>
        <w:tc>
          <w:tcPr>
            <w:tcW w:w="100" w:type="dxa"/>
            <w:vAlign w:val="bottom"/>
            <w:shd w:val="clear" w:color="auto" w:fill="F1F2F2"/>
          </w:tcPr>
          <w:p>
            <w:pPr>
              <w:spacing w:after="0"/>
              <w:rPr>
                <w:sz w:val="6"/>
                <w:szCs w:val="6"/>
                <w:color w:val="auto"/>
              </w:rPr>
            </w:pPr>
          </w:p>
        </w:tc>
        <w:tc>
          <w:tcPr>
            <w:tcW w:w="3100" w:type="dxa"/>
            <w:vAlign w:val="bottom"/>
            <w:shd w:val="clear" w:color="auto" w:fill="F1F2F2"/>
          </w:tcPr>
          <w:p>
            <w:pPr>
              <w:spacing w:after="0"/>
              <w:rPr>
                <w:sz w:val="6"/>
                <w:szCs w:val="6"/>
                <w:color w:val="auto"/>
              </w:rPr>
            </w:pPr>
          </w:p>
        </w:tc>
        <w:tc>
          <w:tcPr>
            <w:tcW w:w="2480" w:type="dxa"/>
            <w:vAlign w:val="bottom"/>
            <w:shd w:val="clear" w:color="auto" w:fill="F1F2F2"/>
          </w:tcPr>
          <w:p>
            <w:pPr>
              <w:spacing w:after="0"/>
              <w:rPr>
                <w:sz w:val="6"/>
                <w:szCs w:val="6"/>
                <w:color w:val="auto"/>
              </w:rPr>
            </w:pPr>
          </w:p>
        </w:tc>
        <w:tc>
          <w:tcPr>
            <w:tcW w:w="1800" w:type="dxa"/>
            <w:vAlign w:val="bottom"/>
            <w:shd w:val="clear" w:color="auto" w:fill="F1F2F2"/>
          </w:tcPr>
          <w:p>
            <w:pPr>
              <w:spacing w:after="0"/>
              <w:rPr>
                <w:sz w:val="6"/>
                <w:szCs w:val="6"/>
                <w:color w:val="auto"/>
              </w:rPr>
            </w:pPr>
          </w:p>
        </w:tc>
        <w:tc>
          <w:tcPr>
            <w:tcW w:w="160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Amortization of intangible assets</w:t>
            </w:r>
          </w:p>
        </w:tc>
        <w:tc>
          <w:tcPr>
            <w:tcW w:w="2480" w:type="dxa"/>
            <w:vAlign w:val="bottom"/>
          </w:tcPr>
          <w:p>
            <w:pPr>
              <w:jc w:val="right"/>
              <w:ind w:right="368"/>
              <w:spacing w:after="0"/>
              <w:rPr>
                <w:sz w:val="20"/>
                <w:szCs w:val="20"/>
                <w:color w:val="auto"/>
              </w:rPr>
            </w:pPr>
            <w:r>
              <w:rPr>
                <w:rFonts w:ascii="Arial" w:cs="Arial" w:eastAsia="Arial" w:hAnsi="Arial"/>
                <w:sz w:val="14"/>
                <w:szCs w:val="14"/>
                <w:color w:val="auto"/>
              </w:rPr>
              <w:t>17</w:t>
            </w:r>
          </w:p>
        </w:tc>
        <w:tc>
          <w:tcPr>
            <w:tcW w:w="18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310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Amortization of premium on receivables</w:t>
            </w:r>
          </w:p>
        </w:tc>
        <w:tc>
          <w:tcPr>
            <w:tcW w:w="248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3</w:t>
            </w:r>
          </w:p>
        </w:tc>
        <w:tc>
          <w:tcPr>
            <w:tcW w:w="1800" w:type="dxa"/>
            <w:vAlign w:val="bottom"/>
            <w:shd w:val="clear" w:color="auto" w:fill="F1F2F2"/>
          </w:tcPr>
          <w:p>
            <w:pPr>
              <w:jc w:val="right"/>
              <w:ind w:right="3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0"/>
        </w:trPr>
        <w:tc>
          <w:tcPr>
            <w:tcW w:w="100" w:type="dxa"/>
            <w:vAlign w:val="bottom"/>
            <w:shd w:val="clear" w:color="auto" w:fill="F1F2F2"/>
          </w:tcPr>
          <w:p>
            <w:pPr>
              <w:spacing w:after="0"/>
              <w:rPr>
                <w:sz w:val="6"/>
                <w:szCs w:val="6"/>
                <w:color w:val="auto"/>
              </w:rPr>
            </w:pPr>
          </w:p>
        </w:tc>
        <w:tc>
          <w:tcPr>
            <w:tcW w:w="3100" w:type="dxa"/>
            <w:vAlign w:val="bottom"/>
            <w:shd w:val="clear" w:color="auto" w:fill="F1F2F2"/>
          </w:tcPr>
          <w:p>
            <w:pPr>
              <w:spacing w:after="0"/>
              <w:rPr>
                <w:sz w:val="6"/>
                <w:szCs w:val="6"/>
                <w:color w:val="auto"/>
              </w:rPr>
            </w:pPr>
          </w:p>
        </w:tc>
        <w:tc>
          <w:tcPr>
            <w:tcW w:w="2480" w:type="dxa"/>
            <w:vAlign w:val="bottom"/>
            <w:shd w:val="clear" w:color="auto" w:fill="F1F2F2"/>
          </w:tcPr>
          <w:p>
            <w:pPr>
              <w:spacing w:after="0"/>
              <w:rPr>
                <w:sz w:val="6"/>
                <w:szCs w:val="6"/>
                <w:color w:val="auto"/>
              </w:rPr>
            </w:pPr>
          </w:p>
        </w:tc>
        <w:tc>
          <w:tcPr>
            <w:tcW w:w="1800" w:type="dxa"/>
            <w:vAlign w:val="bottom"/>
            <w:shd w:val="clear" w:color="auto" w:fill="F1F2F2"/>
          </w:tcPr>
          <w:p>
            <w:pPr>
              <w:spacing w:after="0"/>
              <w:rPr>
                <w:sz w:val="6"/>
                <w:szCs w:val="6"/>
                <w:color w:val="auto"/>
              </w:rPr>
            </w:pPr>
          </w:p>
        </w:tc>
        <w:tc>
          <w:tcPr>
            <w:tcW w:w="160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Amortization of deferred financing costs</w:t>
            </w:r>
          </w:p>
        </w:tc>
        <w:tc>
          <w:tcPr>
            <w:tcW w:w="2480" w:type="dxa"/>
            <w:vAlign w:val="bottom"/>
          </w:tcPr>
          <w:p>
            <w:pPr>
              <w:jc w:val="right"/>
              <w:ind w:right="368"/>
              <w:spacing w:after="0"/>
              <w:rPr>
                <w:sz w:val="20"/>
                <w:szCs w:val="20"/>
                <w:color w:val="auto"/>
              </w:rPr>
            </w:pPr>
            <w:r>
              <w:rPr>
                <w:rFonts w:ascii="Arial" w:cs="Arial" w:eastAsia="Arial" w:hAnsi="Arial"/>
                <w:sz w:val="14"/>
                <w:szCs w:val="14"/>
                <w:color w:val="auto"/>
              </w:rPr>
              <w:t>2</w:t>
            </w:r>
          </w:p>
        </w:tc>
        <w:tc>
          <w:tcPr>
            <w:tcW w:w="18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F1F2F2"/>
          </w:tcPr>
          <w:p>
            <w:pPr>
              <w:spacing w:after="0"/>
              <w:rPr>
                <w:sz w:val="24"/>
                <w:szCs w:val="24"/>
                <w:color w:val="auto"/>
              </w:rPr>
            </w:pPr>
          </w:p>
        </w:tc>
        <w:tc>
          <w:tcPr>
            <w:tcW w:w="310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Loss on extinguishment of debt</w:t>
            </w:r>
          </w:p>
        </w:tc>
        <w:tc>
          <w:tcPr>
            <w:tcW w:w="248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F1F2F2"/>
          </w:tcPr>
          <w:p>
            <w:pPr>
              <w:jc w:val="right"/>
              <w:ind w:right="328"/>
              <w:spacing w:after="0"/>
              <w:rPr>
                <w:sz w:val="20"/>
                <w:szCs w:val="20"/>
                <w:color w:val="auto"/>
              </w:rPr>
            </w:pPr>
            <w:r>
              <w:rPr>
                <w:rFonts w:ascii="Arial" w:cs="Arial" w:eastAsia="Arial" w:hAnsi="Arial"/>
                <w:sz w:val="14"/>
                <w:szCs w:val="14"/>
                <w:color w:val="auto"/>
              </w:rPr>
              <w:t>3</w:t>
            </w:r>
          </w:p>
        </w:tc>
        <w:tc>
          <w:tcPr>
            <w:tcW w:w="16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9"/>
        </w:trPr>
        <w:tc>
          <w:tcPr>
            <w:tcW w:w="100" w:type="dxa"/>
            <w:vAlign w:val="bottom"/>
            <w:shd w:val="clear" w:color="auto" w:fill="F1F2F2"/>
          </w:tcPr>
          <w:p>
            <w:pPr>
              <w:spacing w:after="0"/>
              <w:rPr>
                <w:sz w:val="6"/>
                <w:szCs w:val="6"/>
                <w:color w:val="auto"/>
              </w:rPr>
            </w:pPr>
          </w:p>
        </w:tc>
        <w:tc>
          <w:tcPr>
            <w:tcW w:w="3100" w:type="dxa"/>
            <w:vAlign w:val="bottom"/>
            <w:shd w:val="clear" w:color="auto" w:fill="F1F2F2"/>
          </w:tcPr>
          <w:p>
            <w:pPr>
              <w:spacing w:after="0"/>
              <w:rPr>
                <w:sz w:val="6"/>
                <w:szCs w:val="6"/>
                <w:color w:val="auto"/>
              </w:rPr>
            </w:pPr>
          </w:p>
        </w:tc>
        <w:tc>
          <w:tcPr>
            <w:tcW w:w="2480" w:type="dxa"/>
            <w:vAlign w:val="bottom"/>
            <w:tcBorders>
              <w:bottom w:val="single" w:sz="8" w:color="C43776"/>
            </w:tcBorders>
            <w:shd w:val="clear" w:color="auto" w:fill="F1F2F2"/>
          </w:tcPr>
          <w:p>
            <w:pPr>
              <w:spacing w:after="0"/>
              <w:rPr>
                <w:sz w:val="6"/>
                <w:szCs w:val="6"/>
                <w:color w:val="auto"/>
              </w:rPr>
            </w:pPr>
          </w:p>
        </w:tc>
        <w:tc>
          <w:tcPr>
            <w:tcW w:w="1800" w:type="dxa"/>
            <w:vAlign w:val="bottom"/>
            <w:tcBorders>
              <w:bottom w:val="single" w:sz="8" w:color="C43776"/>
            </w:tcBorders>
            <w:shd w:val="clear" w:color="auto" w:fill="F1F2F2"/>
          </w:tcPr>
          <w:p>
            <w:pPr>
              <w:spacing w:after="0"/>
              <w:rPr>
                <w:sz w:val="6"/>
                <w:szCs w:val="6"/>
                <w:color w:val="auto"/>
              </w:rPr>
            </w:pPr>
          </w:p>
        </w:tc>
        <w:tc>
          <w:tcPr>
            <w:tcW w:w="1600" w:type="dxa"/>
            <w:vAlign w:val="bottom"/>
            <w:tcBorders>
              <w:bottom w:val="single" w:sz="8" w:color="C43776"/>
            </w:tcBorders>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Total pre-tax adjustments</w:t>
            </w:r>
          </w:p>
        </w:tc>
        <w:tc>
          <w:tcPr>
            <w:tcW w:w="2480" w:type="dxa"/>
            <w:vAlign w:val="bottom"/>
          </w:tcPr>
          <w:p>
            <w:pPr>
              <w:jc w:val="right"/>
              <w:ind w:right="368"/>
              <w:spacing w:after="0"/>
              <w:rPr>
                <w:sz w:val="20"/>
                <w:szCs w:val="20"/>
                <w:color w:val="auto"/>
              </w:rPr>
            </w:pPr>
            <w:r>
              <w:rPr>
                <w:rFonts w:ascii="Arial" w:cs="Arial" w:eastAsia="Arial" w:hAnsi="Arial"/>
                <w:sz w:val="14"/>
                <w:szCs w:val="14"/>
                <w:color w:val="auto"/>
              </w:rPr>
              <w:t>49</w:t>
            </w:r>
          </w:p>
        </w:tc>
        <w:tc>
          <w:tcPr>
            <w:tcW w:w="1800" w:type="dxa"/>
            <w:vAlign w:val="bottom"/>
          </w:tcPr>
          <w:p>
            <w:pPr>
              <w:jc w:val="right"/>
              <w:ind w:right="328"/>
              <w:spacing w:after="0"/>
              <w:rPr>
                <w:sz w:val="20"/>
                <w:szCs w:val="20"/>
                <w:color w:val="auto"/>
              </w:rPr>
            </w:pPr>
            <w:r>
              <w:rPr>
                <w:rFonts w:ascii="Arial" w:cs="Arial" w:eastAsia="Arial" w:hAnsi="Arial"/>
                <w:sz w:val="14"/>
                <w:szCs w:val="14"/>
                <w:color w:val="auto"/>
              </w:rPr>
              <w:t>(2)</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F1F2F2"/>
          </w:tcPr>
          <w:p>
            <w:pPr>
              <w:spacing w:after="0"/>
              <w:rPr>
                <w:sz w:val="20"/>
                <w:szCs w:val="20"/>
                <w:color w:val="auto"/>
              </w:rPr>
            </w:pPr>
          </w:p>
        </w:tc>
        <w:tc>
          <w:tcPr>
            <w:tcW w:w="310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Income tax impact of pre-tax adjustments</w:t>
            </w:r>
          </w:p>
        </w:tc>
        <w:tc>
          <w:tcPr>
            <w:tcW w:w="2480" w:type="dxa"/>
            <w:vAlign w:val="bottom"/>
            <w:vMerge w:val="restart"/>
            <w:shd w:val="clear" w:color="auto" w:fill="F1F2F2"/>
          </w:tcPr>
          <w:p>
            <w:pPr>
              <w:jc w:val="right"/>
              <w:ind w:right="368"/>
              <w:spacing w:after="0"/>
              <w:rPr>
                <w:sz w:val="20"/>
                <w:szCs w:val="20"/>
                <w:color w:val="auto"/>
              </w:rPr>
            </w:pPr>
            <w:r>
              <w:rPr>
                <w:rFonts w:ascii="Arial" w:cs="Arial" w:eastAsia="Arial" w:hAnsi="Arial"/>
                <w:sz w:val="14"/>
                <w:szCs w:val="14"/>
                <w:color w:val="auto"/>
              </w:rPr>
              <w:t>(14)</w:t>
            </w:r>
          </w:p>
        </w:tc>
        <w:tc>
          <w:tcPr>
            <w:tcW w:w="1800" w:type="dxa"/>
            <w:vAlign w:val="bottom"/>
            <w:vMerge w:val="restart"/>
            <w:shd w:val="clear" w:color="auto" w:fill="F1F2F2"/>
          </w:tcPr>
          <w:p>
            <w:pPr>
              <w:jc w:val="right"/>
              <w:ind w:right="328"/>
              <w:spacing w:after="0"/>
              <w:rPr>
                <w:sz w:val="20"/>
                <w:szCs w:val="20"/>
                <w:color w:val="auto"/>
              </w:rPr>
            </w:pPr>
            <w:r>
              <w:rPr>
                <w:rFonts w:ascii="Arial" w:cs="Arial" w:eastAsia="Arial" w:hAnsi="Arial"/>
                <w:sz w:val="14"/>
                <w:szCs w:val="14"/>
                <w:color w:val="auto"/>
              </w:rPr>
              <w:t>—</w:t>
            </w:r>
          </w:p>
        </w:tc>
        <w:tc>
          <w:tcPr>
            <w:tcW w:w="1600" w:type="dxa"/>
            <w:vAlign w:val="bottom"/>
            <w:vMerge w:val="restart"/>
            <w:shd w:val="clear" w:color="auto" w:fill="F1F2F2"/>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09"/>
        </w:trPr>
        <w:tc>
          <w:tcPr>
            <w:tcW w:w="100" w:type="dxa"/>
            <w:vAlign w:val="bottom"/>
            <w:shd w:val="clear" w:color="auto" w:fill="F1F2F2"/>
          </w:tcPr>
          <w:p>
            <w:pPr>
              <w:spacing w:after="0"/>
              <w:rPr>
                <w:sz w:val="9"/>
                <w:szCs w:val="9"/>
                <w:color w:val="auto"/>
              </w:rPr>
            </w:pPr>
          </w:p>
        </w:tc>
        <w:tc>
          <w:tcPr>
            <w:tcW w:w="3100" w:type="dxa"/>
            <w:vAlign w:val="bottom"/>
            <w:vMerge w:val="restart"/>
            <w:shd w:val="clear" w:color="auto" w:fill="F1F2F2"/>
          </w:tcPr>
          <w:p>
            <w:pPr>
              <w:ind w:left="40"/>
              <w:spacing w:after="0"/>
              <w:rPr>
                <w:sz w:val="20"/>
                <w:szCs w:val="20"/>
                <w:color w:val="auto"/>
              </w:rPr>
            </w:pPr>
            <w:r>
              <w:rPr>
                <w:rFonts w:ascii="Arial" w:cs="Arial" w:eastAsia="Arial" w:hAnsi="Arial"/>
                <w:sz w:val="14"/>
                <w:szCs w:val="14"/>
                <w:b w:val="1"/>
                <w:bCs w:val="1"/>
                <w:color w:val="auto"/>
              </w:rPr>
              <w:t>at the effective tax rate</w:t>
            </w:r>
          </w:p>
        </w:tc>
        <w:tc>
          <w:tcPr>
            <w:tcW w:w="2480" w:type="dxa"/>
            <w:vAlign w:val="bottom"/>
            <w:vMerge w:val="continue"/>
            <w:shd w:val="clear" w:color="auto" w:fill="F1F2F2"/>
          </w:tcPr>
          <w:p>
            <w:pPr>
              <w:spacing w:after="0"/>
              <w:rPr>
                <w:sz w:val="9"/>
                <w:szCs w:val="9"/>
                <w:color w:val="auto"/>
              </w:rPr>
            </w:pPr>
          </w:p>
        </w:tc>
        <w:tc>
          <w:tcPr>
            <w:tcW w:w="1800" w:type="dxa"/>
            <w:vAlign w:val="bottom"/>
            <w:vMerge w:val="continue"/>
            <w:shd w:val="clear" w:color="auto" w:fill="F1F2F2"/>
          </w:tcPr>
          <w:p>
            <w:pPr>
              <w:spacing w:after="0"/>
              <w:rPr>
                <w:sz w:val="9"/>
                <w:szCs w:val="9"/>
                <w:color w:val="auto"/>
              </w:rPr>
            </w:pPr>
          </w:p>
        </w:tc>
        <w:tc>
          <w:tcPr>
            <w:tcW w:w="160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 w:type="dxa"/>
            <w:vAlign w:val="bottom"/>
            <w:tcBorders>
              <w:bottom w:val="single" w:sz="8" w:color="F1F2F2"/>
            </w:tcBorders>
            <w:shd w:val="clear" w:color="auto" w:fill="F1F2F2"/>
          </w:tcPr>
          <w:p>
            <w:pPr>
              <w:spacing w:after="0"/>
              <w:rPr>
                <w:sz w:val="11"/>
                <w:szCs w:val="11"/>
                <w:color w:val="auto"/>
              </w:rPr>
            </w:pPr>
          </w:p>
        </w:tc>
        <w:tc>
          <w:tcPr>
            <w:tcW w:w="3100" w:type="dxa"/>
            <w:vAlign w:val="bottom"/>
            <w:tcBorders>
              <w:bottom w:val="single" w:sz="8" w:color="F1F2F2"/>
            </w:tcBorders>
            <w:vMerge w:val="continue"/>
            <w:shd w:val="clear" w:color="auto" w:fill="F1F2F2"/>
          </w:tcPr>
          <w:p>
            <w:pPr>
              <w:spacing w:after="0"/>
              <w:rPr>
                <w:sz w:val="11"/>
                <w:szCs w:val="11"/>
                <w:color w:val="auto"/>
              </w:rPr>
            </w:pPr>
          </w:p>
        </w:tc>
        <w:tc>
          <w:tcPr>
            <w:tcW w:w="2480" w:type="dxa"/>
            <w:vAlign w:val="bottom"/>
            <w:tcBorders>
              <w:bottom w:val="single" w:sz="8" w:color="F1F2F2"/>
            </w:tcBorders>
            <w:shd w:val="clear" w:color="auto" w:fill="F1F2F2"/>
          </w:tcPr>
          <w:p>
            <w:pPr>
              <w:spacing w:after="0"/>
              <w:rPr>
                <w:sz w:val="11"/>
                <w:szCs w:val="11"/>
                <w:color w:val="auto"/>
              </w:rPr>
            </w:pPr>
          </w:p>
        </w:tc>
        <w:tc>
          <w:tcPr>
            <w:tcW w:w="1800" w:type="dxa"/>
            <w:vAlign w:val="bottom"/>
            <w:tcBorders>
              <w:bottom w:val="single" w:sz="8" w:color="F1F2F2"/>
            </w:tcBorders>
            <w:shd w:val="clear" w:color="auto" w:fill="F1F2F2"/>
          </w:tcPr>
          <w:p>
            <w:pPr>
              <w:spacing w:after="0"/>
              <w:rPr>
                <w:sz w:val="11"/>
                <w:szCs w:val="11"/>
                <w:color w:val="auto"/>
              </w:rPr>
            </w:pPr>
          </w:p>
        </w:tc>
        <w:tc>
          <w:tcPr>
            <w:tcW w:w="1600" w:type="dxa"/>
            <w:vAlign w:val="bottom"/>
            <w:tcBorders>
              <w:bottom w:val="single" w:sz="8" w:color="F1F2F2"/>
            </w:tcBorders>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Total pre-tax adjustments</w:t>
            </w:r>
          </w:p>
        </w:tc>
        <w:tc>
          <w:tcPr>
            <w:tcW w:w="2480" w:type="dxa"/>
            <w:vAlign w:val="bottom"/>
            <w:tcBorders>
              <w:top w:val="single" w:sz="8" w:color="C43776"/>
            </w:tcBorders>
          </w:tcPr>
          <w:p>
            <w:pPr>
              <w:jc w:val="right"/>
              <w:ind w:right="368"/>
              <w:spacing w:after="0"/>
              <w:rPr>
                <w:sz w:val="20"/>
                <w:szCs w:val="20"/>
                <w:color w:val="auto"/>
              </w:rPr>
            </w:pPr>
            <w:r>
              <w:rPr>
                <w:rFonts w:ascii="Arial" w:cs="Arial" w:eastAsia="Arial" w:hAnsi="Arial"/>
                <w:sz w:val="14"/>
                <w:szCs w:val="14"/>
                <w:color w:val="auto"/>
              </w:rPr>
              <w:t>$143</w:t>
            </w:r>
          </w:p>
        </w:tc>
        <w:tc>
          <w:tcPr>
            <w:tcW w:w="1800" w:type="dxa"/>
            <w:vAlign w:val="bottom"/>
            <w:tcBorders>
              <w:top w:val="single" w:sz="8" w:color="C43776"/>
            </w:tcBorders>
          </w:tcPr>
          <w:p>
            <w:pPr>
              <w:jc w:val="right"/>
              <w:ind w:right="328"/>
              <w:spacing w:after="0"/>
              <w:rPr>
                <w:sz w:val="20"/>
                <w:szCs w:val="20"/>
                <w:color w:val="auto"/>
              </w:rPr>
            </w:pPr>
            <w:r>
              <w:rPr>
                <w:rFonts w:ascii="Arial" w:cs="Arial" w:eastAsia="Arial" w:hAnsi="Arial"/>
                <w:sz w:val="14"/>
                <w:szCs w:val="14"/>
                <w:color w:val="auto"/>
              </w:rPr>
              <w:t>$(4)</w:t>
            </w:r>
          </w:p>
        </w:tc>
        <w:tc>
          <w:tcPr>
            <w:tcW w:w="1600" w:type="dxa"/>
            <w:vAlign w:val="bottom"/>
            <w:tcBorders>
              <w:top w:val="single" w:sz="8" w:color="C43776"/>
            </w:tcBorders>
          </w:tcPr>
          <w:p>
            <w:pPr>
              <w:jc w:val="right"/>
              <w:ind w:right="6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69"/>
        </w:trPr>
        <w:tc>
          <w:tcPr>
            <w:tcW w:w="100" w:type="dxa"/>
            <w:vAlign w:val="bottom"/>
            <w:tcBorders>
              <w:bottom w:val="single" w:sz="8" w:color="F1F2F2"/>
            </w:tcBorders>
          </w:tcPr>
          <w:p>
            <w:pPr>
              <w:spacing w:after="0"/>
              <w:rPr>
                <w:sz w:val="6"/>
                <w:szCs w:val="6"/>
                <w:color w:val="auto"/>
              </w:rPr>
            </w:pPr>
          </w:p>
        </w:tc>
        <w:tc>
          <w:tcPr>
            <w:tcW w:w="3100" w:type="dxa"/>
            <w:vAlign w:val="bottom"/>
            <w:tcBorders>
              <w:bottom w:val="single" w:sz="8" w:color="F1F2F2"/>
            </w:tcBorders>
          </w:tcPr>
          <w:p>
            <w:pPr>
              <w:spacing w:after="0"/>
              <w:rPr>
                <w:sz w:val="6"/>
                <w:szCs w:val="6"/>
                <w:color w:val="auto"/>
              </w:rPr>
            </w:pPr>
          </w:p>
        </w:tc>
        <w:tc>
          <w:tcPr>
            <w:tcW w:w="2480" w:type="dxa"/>
            <w:vAlign w:val="bottom"/>
            <w:tcBorders>
              <w:bottom w:val="single" w:sz="8" w:color="C43776"/>
            </w:tcBorders>
          </w:tcPr>
          <w:p>
            <w:pPr>
              <w:spacing w:after="0"/>
              <w:rPr>
                <w:sz w:val="6"/>
                <w:szCs w:val="6"/>
                <w:color w:val="auto"/>
              </w:rPr>
            </w:pPr>
          </w:p>
        </w:tc>
        <w:tc>
          <w:tcPr>
            <w:tcW w:w="1800" w:type="dxa"/>
            <w:vAlign w:val="bottom"/>
            <w:tcBorders>
              <w:bottom w:val="single" w:sz="8" w:color="C43776"/>
            </w:tcBorders>
          </w:tcPr>
          <w:p>
            <w:pPr>
              <w:spacing w:after="0"/>
              <w:rPr>
                <w:sz w:val="6"/>
                <w:szCs w:val="6"/>
                <w:color w:val="auto"/>
              </w:rPr>
            </w:pPr>
          </w:p>
        </w:tc>
        <w:tc>
          <w:tcPr>
            <w:tcW w:w="1600" w:type="dxa"/>
            <w:vAlign w:val="bottom"/>
            <w:tcBorders>
              <w:bottom w:val="single" w:sz="8" w:color="C43776"/>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shd w:val="clear" w:color="auto" w:fill="F1F2F2"/>
          </w:tcPr>
          <w:p>
            <w:pPr>
              <w:spacing w:after="0"/>
              <w:rPr>
                <w:sz w:val="23"/>
                <w:szCs w:val="23"/>
                <w:color w:val="auto"/>
              </w:rPr>
            </w:pPr>
          </w:p>
        </w:tc>
        <w:tc>
          <w:tcPr>
            <w:tcW w:w="310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Adjusted net income per diluted share</w:t>
            </w:r>
          </w:p>
        </w:tc>
        <w:tc>
          <w:tcPr>
            <w:tcW w:w="248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$1.77</w:t>
            </w:r>
          </w:p>
        </w:tc>
        <w:tc>
          <w:tcPr>
            <w:tcW w:w="1800" w:type="dxa"/>
            <w:vAlign w:val="bottom"/>
            <w:shd w:val="clear" w:color="auto" w:fill="F1F2F2"/>
          </w:tcPr>
          <w:p>
            <w:pPr>
              <w:spacing w:after="0"/>
              <w:rPr>
                <w:sz w:val="23"/>
                <w:szCs w:val="23"/>
                <w:color w:val="auto"/>
              </w:rPr>
            </w:pPr>
          </w:p>
        </w:tc>
        <w:tc>
          <w:tcPr>
            <w:tcW w:w="16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70"/>
        </w:trPr>
        <w:tc>
          <w:tcPr>
            <w:tcW w:w="100" w:type="dxa"/>
            <w:vAlign w:val="bottom"/>
            <w:shd w:val="clear" w:color="auto" w:fill="F1F2F2"/>
          </w:tcPr>
          <w:p>
            <w:pPr>
              <w:spacing w:after="0"/>
              <w:rPr>
                <w:sz w:val="6"/>
                <w:szCs w:val="6"/>
                <w:color w:val="auto"/>
              </w:rPr>
            </w:pPr>
          </w:p>
        </w:tc>
        <w:tc>
          <w:tcPr>
            <w:tcW w:w="3100" w:type="dxa"/>
            <w:vAlign w:val="bottom"/>
            <w:shd w:val="clear" w:color="auto" w:fill="F1F2F2"/>
          </w:tcPr>
          <w:p>
            <w:pPr>
              <w:spacing w:after="0"/>
              <w:rPr>
                <w:sz w:val="6"/>
                <w:szCs w:val="6"/>
                <w:color w:val="auto"/>
              </w:rPr>
            </w:pPr>
          </w:p>
        </w:tc>
        <w:tc>
          <w:tcPr>
            <w:tcW w:w="2480" w:type="dxa"/>
            <w:vAlign w:val="bottom"/>
            <w:tcBorders>
              <w:bottom w:val="single" w:sz="8" w:color="C43776"/>
            </w:tcBorders>
            <w:shd w:val="clear" w:color="auto" w:fill="F1F2F2"/>
          </w:tcPr>
          <w:p>
            <w:pPr>
              <w:spacing w:after="0"/>
              <w:rPr>
                <w:sz w:val="6"/>
                <w:szCs w:val="6"/>
                <w:color w:val="auto"/>
              </w:rPr>
            </w:pPr>
          </w:p>
        </w:tc>
        <w:tc>
          <w:tcPr>
            <w:tcW w:w="1800" w:type="dxa"/>
            <w:vAlign w:val="bottom"/>
            <w:tcBorders>
              <w:bottom w:val="single" w:sz="8" w:color="C43776"/>
            </w:tcBorders>
            <w:shd w:val="clear" w:color="auto" w:fill="F1F2F2"/>
          </w:tcPr>
          <w:p>
            <w:pPr>
              <w:spacing w:after="0"/>
              <w:rPr>
                <w:sz w:val="6"/>
                <w:szCs w:val="6"/>
                <w:color w:val="auto"/>
              </w:rPr>
            </w:pPr>
          </w:p>
        </w:tc>
        <w:tc>
          <w:tcPr>
            <w:tcW w:w="1600" w:type="dxa"/>
            <w:vAlign w:val="bottom"/>
            <w:tcBorders>
              <w:bottom w:val="single" w:sz="8" w:color="C43776"/>
            </w:tcBorders>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Diluted shares</w:t>
            </w:r>
          </w:p>
        </w:tc>
        <w:tc>
          <w:tcPr>
            <w:tcW w:w="2480" w:type="dxa"/>
            <w:vAlign w:val="bottom"/>
          </w:tcPr>
          <w:p>
            <w:pPr>
              <w:jc w:val="right"/>
              <w:ind w:right="368"/>
              <w:spacing w:after="0"/>
              <w:rPr>
                <w:sz w:val="20"/>
                <w:szCs w:val="20"/>
                <w:color w:val="auto"/>
              </w:rPr>
            </w:pPr>
            <w:r>
              <w:rPr>
                <w:rFonts w:ascii="Arial" w:cs="Arial" w:eastAsia="Arial" w:hAnsi="Arial"/>
                <w:sz w:val="14"/>
                <w:szCs w:val="14"/>
                <w:color w:val="auto"/>
              </w:rPr>
              <w:t>80.8</w:t>
            </w:r>
          </w:p>
        </w:tc>
        <w:tc>
          <w:tcPr>
            <w:tcW w:w="1800" w:type="dxa"/>
            <w:vAlign w:val="bottom"/>
          </w:tcPr>
          <w:p>
            <w:pPr>
              <w:spacing w:after="0"/>
              <w:rPr>
                <w:sz w:val="23"/>
                <w:szCs w:val="23"/>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The sums of pre-tax adjustments and adjusted net income may not equal the totals presented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4"/>
          <w:szCs w:val="14"/>
          <w:b w:val="1"/>
          <w:bCs w:val="1"/>
          <w:color w:val="2C6EC4"/>
        </w:rPr>
        <w:t>80</w:t>
      </w:r>
      <w:r>
        <w:rPr>
          <w:sz w:val="20"/>
          <w:szCs w:val="20"/>
          <w:color w:val="auto"/>
        </w:rPr>
        <w:tab/>
      </w:r>
      <w:r>
        <w:rPr>
          <w:rFonts w:ascii="Arial" w:cs="Arial" w:eastAsia="Arial" w:hAnsi="Arial"/>
          <w:sz w:val="13"/>
          <w:szCs w:val="13"/>
          <w:color w:val="auto"/>
        </w:rPr>
        <w:t>2026 Notice of Annual Meeting &amp; Proxy Statement</w:t>
      </w:r>
    </w:p>
    <w:p>
      <w:pPr>
        <w:sectPr>
          <w:pgSz w:w="11900" w:h="16838" w:orient="portrait"/>
          <w:cols w:equalWidth="0" w:num="1">
            <w:col w:w="9080"/>
          </w:cols>
          <w:pgMar w:left="1400" w:top="729" w:right="1419" w:bottom="1440" w:gutter="0" w:footer="0" w:header="0"/>
        </w:sectPr>
      </w:pPr>
    </w:p>
    <w:bookmarkStart w:id="86" w:name="page87"/>
    <w:bookmarkEnd w:id="86"/>
    <w:p>
      <w:pPr>
        <w:spacing w:after="0"/>
        <w:tabs>
          <w:tab w:leader="none" w:pos="4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tabs>
          <w:tab w:leader="none" w:pos="4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tabs>
          <w:tab w:leader="none" w:pos="4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lvl w:ilvl="1">
      <w:lvlJc w:val="left"/>
      <w:lvlText w:val="☐"/>
      <w:numFmt w:val="bullet"/>
      <w:start w:val="1"/>
    </w:lvl>
  </w:abstractNum>
  <w:abstractNum w:abstractNumId="1">
    <w:nsid w:val="2463B9EA"/>
    <w:multiLevelType w:val="hybridMultilevel"/>
    <w:lvl w:ilvl="0">
      <w:lvlJc w:val="left"/>
      <w:lvlText w:val="☒"/>
      <w:numFmt w:val="bullet"/>
      <w:start w:val="1"/>
    </w:lvl>
    <w:lvl w:ilvl="1">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8"/>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6"/>
      <w:numFmt w:val="bullet"/>
      <w:start w:val="1"/>
    </w:lvl>
  </w:abstractNum>
  <w:abstractNum w:abstractNumId="11">
    <w:nsid w:val="1D4ED43B"/>
    <w:multiLevelType w:val="hybridMultilevel"/>
    <w:lvl w:ilvl="0">
      <w:lvlJc w:val="left"/>
      <w:lvlText w:val="%1"/>
      <w:numFmt w:val="decimal"/>
      <w:start w:val="10"/>
    </w:lvl>
  </w:abstractNum>
  <w:abstractNum w:abstractNumId="12">
    <w:nsid w:val="725A06FB"/>
    <w:multiLevelType w:val="hybridMultilevel"/>
    <w:lvl w:ilvl="0">
      <w:lvlJc w:val="left"/>
      <w:lvlText w:val="%1"/>
      <w:numFmt w:val="decimal"/>
      <w:start w:val="12"/>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4"/>
    </w:lvl>
  </w:abstractNum>
  <w:abstractNum w:abstractNumId="22">
    <w:nsid w:val="684A481A"/>
    <w:multiLevelType w:val="hybridMultilevel"/>
    <w:lvl w:ilvl="0">
      <w:lvlJc w:val="left"/>
      <w:lvlText w:val="(%1)"/>
      <w:numFmt w:val="decimal"/>
    </w:lvl>
    <w:lvl w:ilvl="1">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ü"/>
      <w:numFmt w:val="bullet"/>
      <w:start w:val="1"/>
    </w:lvl>
  </w:abstractNum>
  <w:abstractNum w:abstractNumId="28">
    <w:nsid w:val="75C6C33A"/>
    <w:multiLevelType w:val="hybridMultilevel"/>
    <w:lvl w:ilvl="0">
      <w:lvlJc w:val="left"/>
      <w:lvlText w:val="X"/>
      <w:numFmt w:val="bullet"/>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5"/>
    </w:lvl>
  </w:abstractNum>
  <w:abstractNum w:abstractNumId="50">
    <w:nsid w:val="77AE35EB"/>
    <w:multiLevelType w:val="hybridMultilevel"/>
    <w:lvl w:ilvl="0">
      <w:lvlJc w:val="left"/>
      <w:lvlText w:val="(%1)"/>
      <w:numFmt w:val="decimal"/>
      <w:start w:val="6"/>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48"/>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3"/>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1."/>
      <w:numFmt w:val="decimal"/>
      <w:start w:val="9"/>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3"/>
    </w:lvl>
  </w:abstractNum>
  <w:abstractNum w:abstractNumId="65">
    <w:nsid w:val="98A3148"/>
    <w:multiLevelType w:val="hybridMultilevel"/>
    <w:lvl w:ilvl="0">
      <w:lvlJc w:val="left"/>
      <w:lvlText w:val="%1."/>
      <w:numFmt w:val="decimal"/>
      <w:start w:val="12"/>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8"/>
    </w:lvl>
  </w:abstractNum>
  <w:abstractNum w:abstractNumId="70">
    <w:nsid w:val="1EBA5D23"/>
    <w:multiLevelType w:val="hybridMultilevel"/>
    <w:lvl w:ilvl="0">
      <w:lvlJc w:val="left"/>
      <w:lvlText w:val="%1."/>
      <w:numFmt w:val="decimal"/>
      <w:start w:val="19"/>
    </w:lvl>
  </w:abstractNum>
  <w:abstractNum w:abstractNumId="71">
    <w:nsid w:val="661E3F1E"/>
    <w:multiLevelType w:val="hybridMultilevel"/>
    <w:lvl w:ilvl="0">
      <w:lvlJc w:val="left"/>
      <w:lvlText w:val="%1."/>
      <w:numFmt w:val="decimal"/>
      <w:start w:val="20"/>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2026-04-10T15:42:57Z</dcterms:created>
  <dcterms:modified xsi:type="dcterms:W3CDTF">2026-04-10T15:42:57Z</dcterms:modified>
</cp:coreProperties>
</file>