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w:t>
      </w:r>
    </w:p>
    <w:p>
      <w:pPr>
        <w:spacing w:after="0" w:line="24" w:lineRule="exact"/>
        <w:rPr>
          <w:sz w:val="24"/>
          <w:szCs w:val="24"/>
          <w:color w:val="auto"/>
        </w:rPr>
      </w:pPr>
    </w:p>
    <w:p>
      <w:pPr>
        <w:ind w:left="800" w:hanging="62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66"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June 30, 2025</w:t>
            </w:r>
          </w:p>
        </w:tc>
        <w:tc>
          <w:tcPr>
            <w:tcW w:w="2840" w:type="dxa"/>
            <w:vAlign w:val="bottom"/>
          </w:tcPr>
          <w:p>
            <w:pPr>
              <w:spacing w:after="0"/>
              <w:rPr>
                <w:sz w:val="20"/>
                <w:szCs w:val="20"/>
                <w:color w:val="auto"/>
              </w:rPr>
            </w:pPr>
          </w:p>
        </w:tc>
      </w:tr>
      <w:tr>
        <w:trPr>
          <w:trHeight w:val="531"/>
        </w:trPr>
        <w:tc>
          <w:tcPr>
            <w:tcW w:w="680" w:type="dxa"/>
            <w:vAlign w:val="bottom"/>
          </w:tcPr>
          <w:p>
            <w:pPr>
              <w:ind w:left="20"/>
              <w:spacing w:after="0" w:line="495" w:lineRule="exact"/>
              <w:rPr>
                <w:sz w:val="20"/>
                <w:szCs w:val="20"/>
                <w:color w:val="auto"/>
              </w:rPr>
            </w:pPr>
            <w:r>
              <w:rPr>
                <w:rFonts w:ascii="Times New Roman" w:cs="Times New Roman" w:eastAsia="Times New Roman" w:hAnsi="Times New Roman"/>
                <w:sz w:val="18"/>
                <w:szCs w:val="18"/>
                <w:b w:val="1"/>
                <w:bCs w:val="1"/>
                <w:color w:val="auto"/>
              </w:rPr>
              <w:t>OR</w:t>
            </w:r>
            <w:r>
              <w:rPr>
                <w:rFonts w:ascii="MS PGothic" w:cs="MS PGothic" w:eastAsia="MS PGothic" w:hAnsi="MS PGothic"/>
                <w:sz w:val="43"/>
                <w:szCs w:val="43"/>
                <w:color w:val="auto"/>
                <w:vertAlign w:val="superscript"/>
              </w:rPr>
              <w:t>☐</w:t>
            </w:r>
          </w:p>
        </w:tc>
        <w:tc>
          <w:tcPr>
            <w:tcW w:w="10580" w:type="dxa"/>
            <w:vAlign w:val="bottom"/>
            <w:gridSpan w:val="11"/>
          </w:tcPr>
          <w:p>
            <w:pPr>
              <w:ind w:left="280"/>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tc>
      </w:tr>
      <w:tr>
        <w:trPr>
          <w:trHeight w:val="198"/>
        </w:trPr>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60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r>
      <w:tr>
        <w:trPr>
          <w:trHeight w:val="326"/>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001-35004</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593"/>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3"/>
          </w:tcPr>
          <w:p>
            <w:pPr>
              <w:jc w:val="center"/>
              <w:ind w:left="1439"/>
              <w:spacing w:after="0"/>
              <w:rPr>
                <w:sz w:val="20"/>
                <w:szCs w:val="20"/>
                <w:color w:val="auto"/>
              </w:rPr>
            </w:pPr>
            <w:r>
              <w:rPr>
                <w:rFonts w:ascii="Times New Roman" w:cs="Times New Roman" w:eastAsia="Times New Roman" w:hAnsi="Times New Roman"/>
                <w:sz w:val="40"/>
                <w:szCs w:val="40"/>
                <w:b w:val="1"/>
                <w:bCs w:val="1"/>
                <w:color w:val="auto"/>
                <w:w w:val="97"/>
              </w:rPr>
              <w:t>Corpay,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0"/>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248"/>
        </w:trPr>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32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184"/>
        </w:trPr>
        <w:tc>
          <w:tcPr>
            <w:tcW w:w="680" w:type="dxa"/>
            <w:vAlign w:val="bottom"/>
          </w:tcPr>
          <w:p>
            <w:pPr>
              <w:spacing w:after="0"/>
              <w:rPr>
                <w:sz w:val="16"/>
                <w:szCs w:val="16"/>
                <w:color w:val="auto"/>
              </w:rPr>
            </w:pPr>
          </w:p>
        </w:tc>
        <w:tc>
          <w:tcPr>
            <w:tcW w:w="5100" w:type="dxa"/>
            <w:vAlign w:val="bottom"/>
            <w:gridSpan w:val="5"/>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jc w:val="center"/>
              <w:ind w:right="10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79"/>
        </w:trPr>
        <w:tc>
          <w:tcPr>
            <w:tcW w:w="680" w:type="dxa"/>
            <w:vAlign w:val="bottom"/>
          </w:tcPr>
          <w:p>
            <w:pPr>
              <w:spacing w:after="0"/>
              <w:rPr>
                <w:sz w:val="24"/>
                <w:szCs w:val="24"/>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Atlanta</w:t>
            </w:r>
          </w:p>
        </w:tc>
        <w:tc>
          <w:tcPr>
            <w:tcW w:w="240" w:type="dxa"/>
            <w:vAlign w:val="bottom"/>
          </w:tcPr>
          <w:p>
            <w:pPr>
              <w:spacing w:after="0"/>
              <w:rPr>
                <w:sz w:val="24"/>
                <w:szCs w:val="24"/>
                <w:color w:val="auto"/>
              </w:rPr>
            </w:pPr>
          </w:p>
        </w:tc>
        <w:tc>
          <w:tcPr>
            <w:tcW w:w="15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8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8"/>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(770) 449-0479</w:t>
            </w:r>
          </w:p>
        </w:tc>
        <w:tc>
          <w:tcPr>
            <w:tcW w:w="284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gridSpan w:val="5"/>
          </w:tcPr>
          <w:p>
            <w:pPr>
              <w:spacing w:after="0"/>
              <w:rPr>
                <w:sz w:val="2"/>
                <w:szCs w:val="2"/>
                <w:color w:val="auto"/>
              </w:rPr>
            </w:pP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580" w:type="dxa"/>
            <w:vAlign w:val="bottom"/>
            <w:tcBorders>
              <w:bottom w:val="single" w:sz="8" w:color="auto"/>
              <w:right w:val="single" w:sz="8" w:color="auto"/>
            </w:tcBorders>
            <w:gridSpan w:val="5"/>
          </w:tcPr>
          <w:p>
            <w:pPr>
              <w:jc w:val="center"/>
              <w:ind w:right="1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CPAY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3"/>
          </w:tcPr>
          <w:p>
            <w:pPr>
              <w:jc w:val="center"/>
              <w:ind w:right="2270"/>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238"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780" w:type="dxa"/>
            <w:vAlign w:val="bottom"/>
          </w:tcPr>
          <w:p>
            <w:pPr>
              <w:spacing w:after="0"/>
              <w:rPr>
                <w:sz w:val="18"/>
                <w:szCs w:val="18"/>
                <w:color w:val="auto"/>
              </w:rPr>
            </w:pPr>
          </w:p>
        </w:tc>
        <w:tc>
          <w:tcPr>
            <w:tcW w:w="5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Outstanding at 8/4/2025</w:t>
            </w:r>
          </w:p>
        </w:tc>
      </w:tr>
      <w:tr>
        <w:trPr>
          <w:trHeight w:val="250"/>
        </w:trPr>
        <w:tc>
          <w:tcPr>
            <w:tcW w:w="5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554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70,614,383</w:t>
            </w:r>
          </w:p>
        </w:tc>
      </w:tr>
      <w:tr>
        <w:trPr>
          <w:trHeight w:val="695"/>
        </w:trPr>
        <w:tc>
          <w:tcPr>
            <w:tcW w:w="2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80" w:type="dxa"/>
            <w:vAlign w:val="bottom"/>
            <w:gridSpan w:val="9"/>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2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10"/>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2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8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PART I—FINANCIAL INFORMATION</w:t>
            </w:r>
          </w:p>
        </w:tc>
        <w:tc>
          <w:tcPr>
            <w:tcW w:w="1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9860" w:type="dxa"/>
            <w:vAlign w:val="bottom"/>
            <w:gridSpan w:val="19"/>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96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Consolidated Balance Sheets at June 30, 2025 (unaudited) and December 31, 2024</w:t>
            </w:r>
          </w:p>
        </w:tc>
        <w:tc>
          <w:tcPr>
            <w:tcW w:w="3000" w:type="dxa"/>
            <w:vAlign w:val="bottom"/>
            <w:gridSpan w:val="7"/>
          </w:tcPr>
          <w:p>
            <w:pPr>
              <w:spacing w:after="0"/>
              <w:rPr>
                <w:sz w:val="21"/>
                <w:szCs w:val="21"/>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Income for the Three and Six Months Ended June 30, 2025 and 2024</w:t>
            </w:r>
          </w:p>
        </w:tc>
        <w:tc>
          <w:tcPr>
            <w:tcW w:w="1160" w:type="dxa"/>
            <w:vAlign w:val="bottom"/>
            <w:gridSpan w:val="3"/>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96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Comprehensive Income for the Three and Six Months Ended June 30, 2025 and 2024</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4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Equity for the Three and Six Months Ended June 30, 2025 and 2024</w:t>
            </w:r>
          </w:p>
        </w:tc>
        <w:tc>
          <w:tcPr>
            <w:tcW w:w="1220" w:type="dxa"/>
            <w:vAlign w:val="bottom"/>
            <w:gridSpan w:val="4"/>
          </w:tcPr>
          <w:p>
            <w:pPr>
              <w:spacing w:after="0"/>
              <w:rPr>
                <w:sz w:val="24"/>
                <w:szCs w:val="24"/>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340" w:type="dxa"/>
            <w:vAlign w:val="bottom"/>
            <w:tcBorders>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Unaudited Statements of Cash Flows for the Six Months Ended June 30, 2025 and 2024</w:t>
            </w:r>
          </w:p>
        </w:tc>
        <w:tc>
          <w:tcPr>
            <w:tcW w:w="2620" w:type="dxa"/>
            <w:vAlign w:val="bottom"/>
            <w:gridSpan w:val="5"/>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Notes to Unaudited Consolidated Financial Statements</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40" w:type="dxa"/>
            <w:vAlign w:val="bottom"/>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2820" w:type="dxa"/>
            <w:vAlign w:val="bottom"/>
            <w:gridSpan w:val="6"/>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PART II—OTHER INFORMATION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LEGAL PROCEEDINGS</w:t>
            </w:r>
          </w:p>
        </w:tc>
        <w:tc>
          <w:tcPr>
            <w:tcW w:w="7080" w:type="dxa"/>
            <w:vAlign w:val="bottom"/>
            <w:gridSpan w:val="12"/>
          </w:tcPr>
          <w:p>
            <w:pPr>
              <w:spacing w:after="0"/>
              <w:rPr>
                <w:sz w:val="21"/>
                <w:szCs w:val="21"/>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7700" w:type="dxa"/>
            <w:vAlign w:val="bottom"/>
            <w:gridSpan w:val="13"/>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USE OF PROCEEDS AND ISSUER PURCHASE OF EQUITY</w:t>
            </w:r>
          </w:p>
        </w:tc>
        <w:tc>
          <w:tcPr>
            <w:tcW w:w="130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760" w:type="dxa"/>
            <w:vAlign w:val="bottom"/>
            <w:tcBorders>
              <w:top w:val="single" w:sz="8" w:color="0E32E1"/>
            </w:tcBorders>
            <w:gridSpan w:val="16"/>
          </w:tcPr>
          <w:p>
            <w:pPr>
              <w:spacing w:after="0" w:line="142" w:lineRule="exact"/>
              <w:rPr>
                <w:sz w:val="20"/>
                <w:szCs w:val="20"/>
                <w:color w:val="auto"/>
              </w:rPr>
            </w:pPr>
            <w:r>
              <w:rPr>
                <w:rFonts w:ascii="Times New Roman" w:cs="Times New Roman" w:eastAsia="Times New Roman" w:hAnsi="Times New Roman"/>
                <w:sz w:val="16"/>
                <w:szCs w:val="16"/>
                <w:color w:val="0E32E1"/>
              </w:rPr>
              <w:t>SECURITIES</w:t>
            </w:r>
          </w:p>
        </w:tc>
        <w:tc>
          <w:tcPr>
            <w:tcW w:w="200" w:type="dxa"/>
            <w:vAlign w:val="bottom"/>
            <w:gridSpan w:val="2"/>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5780" w:type="dxa"/>
            <w:vAlign w:val="bottom"/>
            <w:gridSpan w:val="9"/>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440" w:type="dxa"/>
            <w:vAlign w:val="bottom"/>
            <w:tcBorders>
              <w:top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6520" w:type="dxa"/>
            <w:vAlign w:val="bottom"/>
            <w:gridSpan w:val="11"/>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EXHIBITS</w:t>
            </w:r>
          </w:p>
        </w:tc>
        <w:tc>
          <w:tcPr>
            <w:tcW w:w="7080" w:type="dxa"/>
            <w:vAlign w:val="bottom"/>
            <w:gridSpan w:val="12"/>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973"/>
        </w:trPr>
        <w:tc>
          <w:tcPr>
            <w:tcW w:w="80" w:type="dxa"/>
            <w:vAlign w:val="bottom"/>
            <w:tcBorders>
              <w:bottom w:val="single" w:sz="8" w:color="9A9A9A"/>
            </w:tcBorders>
          </w:tcPr>
          <w:p>
            <w:pPr>
              <w:spacing w:after="0"/>
              <w:rPr>
                <w:sz w:val="24"/>
                <w:szCs w:val="24"/>
                <w:color w:val="auto"/>
              </w:rPr>
            </w:pPr>
          </w:p>
        </w:tc>
        <w:tc>
          <w:tcPr>
            <w:tcW w:w="900" w:type="dxa"/>
            <w:vAlign w:val="bottom"/>
            <w:tcBorders>
              <w:top w:val="single" w:sz="8" w:color="0E32E1"/>
              <w:bottom w:val="single" w:sz="8" w:color="9A9A9A"/>
            </w:tcBorders>
          </w:tcPr>
          <w:p>
            <w:pPr>
              <w:spacing w:after="0"/>
              <w:rPr>
                <w:sz w:val="24"/>
                <w:szCs w:val="24"/>
                <w:color w:val="auto"/>
              </w:rPr>
            </w:pPr>
          </w:p>
        </w:tc>
        <w:tc>
          <w:tcPr>
            <w:tcW w:w="200" w:type="dxa"/>
            <w:vAlign w:val="bottom"/>
            <w:tcBorders>
              <w:top w:val="single" w:sz="8" w:color="0E32E1"/>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Amounts)</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3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1,553,642</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2,902,703</w:t>
            </w:r>
          </w:p>
        </w:tc>
      </w:tr>
      <w:tr>
        <w:trPr>
          <w:trHeight w:val="175"/>
        </w:trPr>
        <w:tc>
          <w:tcPr>
            <w:tcW w:w="72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and other receivables (less allowance for credit losses of $155,847 at June 30, 2025</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4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$133,757 at December 31, 2024)</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2,601,292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2,090,500</w:t>
            </w: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Securitized accounts receivable—restricted for securitization investors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1,323,000</w:t>
            </w: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806,024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10,759,243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8,675,869</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377,705</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6,334,018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5,984,667</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2,410,442</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60,088</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477,022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448,260</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20,435,226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17,957,031</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1,570,426</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444,938</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4,143,205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3,266,126</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Securitization facility</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1,323,000</w:t>
            </w: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 and lines of credit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1,446,974</w:t>
            </w:r>
          </w:p>
        </w:tc>
      </w:tr>
      <w:tr>
        <w:trPr>
          <w:trHeight w:val="230"/>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823,212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656,417</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9,639,769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8,707,881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and other obligations, less current portion</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5,869,083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5,226,106</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439,176</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437,879</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6,828,278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6,103,161</w:t>
            </w: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75"/>
        </w:trPr>
        <w:tc>
          <w:tcPr>
            <w:tcW w:w="7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475,000,000 shares authorized; 132,115,444 shares issued and</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4"/>
        </w:trPr>
        <w:tc>
          <w:tcPr>
            <w:tcW w:w="7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70,610,228 shares outstanding at June 30, 2025; and 131,425,669 shares issued and 70,170,016</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 at December 31, 2024</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3,811,131</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9,196,405</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(1,713,996)</w:t>
            </w:r>
          </w:p>
        </w:tc>
      </w:tr>
      <w:tr>
        <w:trPr>
          <w:trHeight w:val="175"/>
        </w:trPr>
        <w:tc>
          <w:tcPr>
            <w:tcW w:w="7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treasury stock, 61,505,216 shares at June 30, 2025 and 61,255,653 shares at December 31,</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(8,261,846)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(8,171,329)</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Corpay stockholders’ equity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3,928,573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3,122,342</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23,647</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3,967,179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3,145,989</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20,435,226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17,957,031</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Processing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Selling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operating,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expenses:</w:t>
      </w:r>
    </w:p>
    <w:p>
      <w:pPr>
        <w:spacing w:after="0" w:line="27" w:lineRule="exact"/>
        <w:rPr>
          <w:sz w:val="20"/>
          <w:szCs w:val="20"/>
          <w:color w:val="auto"/>
        </w:rPr>
      </w:pPr>
    </w:p>
    <w:p>
      <w:pPr>
        <w:ind w:left="360" w:right="740"/>
        <w:spacing w:after="0" w:line="266" w:lineRule="auto"/>
        <w:rPr>
          <w:sz w:val="20"/>
          <w:szCs w:val="20"/>
          <w:color w:val="auto"/>
        </w:rPr>
      </w:pPr>
      <w:r>
        <w:rPr>
          <w:rFonts w:ascii="Times New Roman" w:cs="Times New Roman" w:eastAsia="Times New Roman" w:hAnsi="Times New Roman"/>
          <w:sz w:val="18"/>
          <w:szCs w:val="18"/>
          <w:color w:val="auto"/>
        </w:rPr>
        <w:t>Other (income) expense, net Interest expense, net</w:t>
      </w:r>
    </w:p>
    <w:p>
      <w:pPr>
        <w:jc w:val="right"/>
        <w:ind w:right="50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392"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975,710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1,910,961</w:t>
            </w:r>
          </w:p>
        </w:tc>
      </w:tr>
      <w:tr>
        <w:trPr>
          <w:trHeight w:val="449"/>
        </w:trPr>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416,610</w:t>
            </w:r>
          </w:p>
        </w:tc>
      </w:tr>
      <w:tr>
        <w:trPr>
          <w:trHeight w:val="230"/>
        </w:trPr>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189,232</w:t>
            </w:r>
          </w:p>
        </w:tc>
      </w:tr>
      <w:tr>
        <w:trPr>
          <w:trHeight w:val="229"/>
        </w:trPr>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305,039</w:t>
            </w:r>
          </w:p>
        </w:tc>
      </w:tr>
      <w:tr>
        <w:trPr>
          <w:trHeight w:val="229"/>
        </w:trPr>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169,102</w:t>
            </w:r>
          </w:p>
        </w:tc>
      </w:tr>
      <w:tr>
        <w:trPr>
          <w:trHeight w:val="234"/>
        </w:trPr>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479,390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433,339</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830,677</w:t>
            </w:r>
          </w:p>
        </w:tc>
      </w:tr>
      <w:tr>
        <w:trPr>
          <w:trHeight w:val="434"/>
        </w:trPr>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9"/>
        </w:trPr>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183,765</w:t>
            </w:r>
          </w:p>
        </w:tc>
      </w:tr>
      <w:tr>
        <w:trPr>
          <w:trHeight w:val="232"/>
        </w:trPr>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-1764030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-1464310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-1172845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-881380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-581025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-289560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20" w:space="720"/>
            <w:col w:w="740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99,137</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191,185</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639,492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158,026</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284,078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251,663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481,466</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284,168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481,394</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71,429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71,497</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71,494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72,516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6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481,466</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gains (losses), net of tax</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(257,946)</w:t>
            </w:r>
          </w:p>
        </w:tc>
      </w:tr>
      <w:tr>
        <w:trPr>
          <w:trHeight w:val="229"/>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change in derivative contracts, net of tax</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44,819</w:t>
            </w:r>
          </w:p>
        </w:tc>
      </w:tr>
      <w:tr>
        <w:trPr>
          <w:trHeight w:val="223"/>
        </w:trPr>
        <w:tc>
          <w:tcPr>
            <w:tcW w:w="5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(213,127)</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268,339</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Corpay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271,508</w:t>
            </w:r>
          </w:p>
        </w:tc>
      </w:tr>
      <w:tr>
        <w:trPr>
          <w:trHeight w:val="21"/>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Total Corpay</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3,811,131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9,196,405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(8,171,329)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3,145,989</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243,233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243,875</w:t>
            </w: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controlling interest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(58,718)</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18,366</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32,079</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3,850,115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9,439,638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(1,606,002)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(8,230,047)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3,453,836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3,494,082</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284,168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284,078</w:t>
            </w:r>
          </w:p>
        </w:tc>
        <w:tc>
          <w:tcPr>
            <w:tcW w:w="0" w:type="dxa"/>
            <w:vAlign w:val="bottom"/>
          </w:tcPr>
          <w:p>
            <w:pPr>
              <w:spacing w:after="0"/>
              <w:rPr>
                <w:sz w:val="1"/>
                <w:szCs w:val="1"/>
                <w:color w:val="auto"/>
              </w:rPr>
            </w:pPr>
          </w:p>
        </w:tc>
      </w:tr>
      <w:tr>
        <w:trPr>
          <w:trHeight w:val="162"/>
        </w:trPr>
        <w:tc>
          <w:tcPr>
            <w:tcW w:w="24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169,616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169,616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168,066</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(31,799)</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28,868</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23,884</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3,902,867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9,723,806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(1,436,386)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(8,261,846)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3,928,573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3,967,179</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Total Corpay</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1"/>
                <w:szCs w:val="11"/>
                <w:color w:val="auto"/>
              </w:rPr>
            </w:pPr>
          </w:p>
        </w:tc>
        <w:tc>
          <w:tcPr>
            <w:tcW w:w="88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3,266,185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8,192,659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(6,887,515)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3,282,359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3,282,359</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229,769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229,803</w:t>
            </w: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Acquisition of noncontrolling</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28,057</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90,838</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3,382,001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8,422,428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(1,340,847)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(7,209,291)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3,254,421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3,282,270</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251,663</w:t>
            </w:r>
          </w:p>
        </w:tc>
        <w:tc>
          <w:tcPr>
            <w:tcW w:w="0" w:type="dxa"/>
            <w:vAlign w:val="bottom"/>
          </w:tcPr>
          <w:p>
            <w:pPr>
              <w:spacing w:after="0"/>
              <w:rPr>
                <w:sz w:val="1"/>
                <w:szCs w:val="1"/>
                <w:color w:val="auto"/>
              </w:rPr>
            </w:pPr>
          </w:p>
        </w:tc>
      </w:tr>
      <w:tr>
        <w:trPr>
          <w:trHeight w:val="162"/>
        </w:trPr>
        <w:tc>
          <w:tcPr>
            <w:tcW w:w="24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(158,138)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(158,138)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(161,137)</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0" w:type="dxa"/>
            <w:vAlign w:val="bottom"/>
          </w:tcPr>
          <w:p>
            <w:pPr>
              <w:spacing w:after="0"/>
              <w:rPr>
                <w:sz w:val="1"/>
                <w:szCs w:val="1"/>
                <w:color w:val="auto"/>
              </w:rPr>
            </w:pP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3,418,512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8,674,053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(1,498,985)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(7,843,005)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2,750,705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2,775,593</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4"/>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4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Cash Flows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7"/>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527,953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481,466</w:t>
            </w: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58,443</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accounts and other receivables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53,485</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 and premium on receivables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110,659</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operating (income) expense,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acquisitions/disposition):</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(497,284)</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(76,983)</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Derivative assets and liabilities,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customer deposits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727,818</w:t>
            </w: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1,066,096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891,105</w:t>
            </w:r>
          </w:p>
        </w:tc>
      </w:tr>
      <w:tr>
        <w:trPr>
          <w:trHeight w:val="209"/>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(59,871)</w:t>
            </w: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(85,289)</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of cost method investment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(146,613)</w:t>
            </w:r>
          </w:p>
        </w:tc>
      </w:tr>
      <w:tr>
        <w:trPr>
          <w:trHeight w:val="210"/>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100,241</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(947,074)</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on securitization facility, net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(51,063)</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from revolver</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4,153,000</w:t>
            </w: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revolver</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(3,811,000)</w:t>
            </w: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 (payments) on swing line of credit, net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(109,247)</w:t>
            </w: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(239,238)</w:t>
            </w: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w:t>
            </w:r>
          </w:p>
        </w:tc>
      </w:tr>
      <w:tr>
        <w:trPr>
          <w:trHeight w:val="223"/>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405,761</w:t>
            </w: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4,456,345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3,141,535</w:t>
            </w:r>
          </w:p>
        </w:tc>
      </w:tr>
      <w:tr>
        <w:trPr>
          <w:trHeight w:val="223"/>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5,531,358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3,547,296</w:t>
            </w:r>
          </w:p>
        </w:tc>
      </w:tr>
      <w:tr>
        <w:trPr>
          <w:trHeight w:val="20"/>
        </w:trPr>
        <w:tc>
          <w:tcPr>
            <w:tcW w:w="6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74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238,796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237,912</w:t>
            </w:r>
          </w:p>
        </w:tc>
      </w:tr>
      <w:tr>
        <w:trPr>
          <w:trHeight w:val="20"/>
        </w:trPr>
        <w:tc>
          <w:tcPr>
            <w:tcW w:w="6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9"/>
        </w:trPr>
        <w:tc>
          <w:tcPr>
            <w:tcW w:w="6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185,333</w:t>
            </w:r>
          </w:p>
        </w:tc>
      </w:tr>
      <w:tr>
        <w:trPr>
          <w:trHeight w:val="20"/>
        </w:trPr>
        <w:tc>
          <w:tcPr>
            <w:tcW w:w="6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5" w:lineRule="exact"/>
        <w:rPr>
          <w:sz w:val="20"/>
          <w:szCs w:val="20"/>
          <w:color w:val="auto"/>
        </w:rPr>
      </w:pPr>
    </w:p>
    <w:p>
      <w:pPr>
        <w:ind w:right="7680" w:firstLine="8"/>
        <w:spacing w:after="0" w:line="370"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00"/>
        <w:spacing w:after="0" w:line="256" w:lineRule="auto"/>
        <w:rPr>
          <w:sz w:val="20"/>
          <w:szCs w:val="20"/>
          <w:color w:val="auto"/>
        </w:rPr>
      </w:pPr>
      <w:r>
        <w:rPr>
          <w:rFonts w:ascii="Times New Roman" w:cs="Times New Roman" w:eastAsia="Times New Roman" w:hAnsi="Times New Roman"/>
          <w:sz w:val="17"/>
          <w:szCs w:val="17"/>
          <w:color w:val="auto"/>
        </w:rPr>
        <w:t>Throughout this Quarterly Report on Form 10-Q, the terms "our," "we," "us," and the "Company" refers to Corpay, Inc. and its subsidiaries. 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6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2024. Except as disclosed in these accompanying notes, there have been no material changes to the information disclosed in the Notes contained within our Annual Report on Form 10-K for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June 30, 2025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foreign exchange gains and losses, which are recorded within Other expense, net in the Unaudited Consolidated Statements of Income, for the three and six months ended June 30, 2025 and 2024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3"/>
        </w:trPr>
        <w:tc>
          <w:tcPr>
            <w:tcW w:w="4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recorded foreign currency losses and gains on long-term intra-entity transactions included as a component of foreign currency translation gains (losses), net of tax, in the Unaudited Consolidated Statements of Comprehensive Income for the three and six months ended June 30, 2025 and 2024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3"/>
        </w:trPr>
        <w:tc>
          <w:tcPr>
            <w:tcW w:w="47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on long-term intra-entity transactions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amounts within the Unaudited Consolidated Statements of Cash Flows (in thousands):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4"/>
                <w:szCs w:val="24"/>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1,389,648</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3,338,509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2,902,703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2,189,729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1,751,887</w:t>
            </w:r>
          </w:p>
        </w:tc>
        <w:tc>
          <w:tcPr>
            <w:tcW w:w="0" w:type="dxa"/>
            <w:vAlign w:val="bottom"/>
          </w:tcPr>
          <w:p>
            <w:pPr>
              <w:spacing w:after="0"/>
              <w:rPr>
                <w:sz w:val="1"/>
                <w:szCs w:val="1"/>
                <w:color w:val="auto"/>
              </w:rPr>
            </w:pPr>
          </w:p>
        </w:tc>
      </w:tr>
      <w:tr>
        <w:trPr>
          <w:trHeight w:val="156"/>
        </w:trPr>
        <w:tc>
          <w:tcPr>
            <w:tcW w:w="30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5,531,358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4,456,345</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3,547,296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3,141,535</w:t>
            </w:r>
          </w:p>
        </w:tc>
        <w:tc>
          <w:tcPr>
            <w:tcW w:w="0" w:type="dxa"/>
            <w:vAlign w:val="bottom"/>
          </w:tcPr>
          <w:p>
            <w:pPr>
              <w:spacing w:after="0"/>
              <w:rPr>
                <w:sz w:val="1"/>
                <w:szCs w:val="1"/>
                <w:color w:val="auto"/>
              </w:rPr>
            </w:pPr>
          </w:p>
        </w:tc>
      </w:tr>
      <w:tr>
        <w:trPr>
          <w:trHeight w:val="236"/>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 Credit Losses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Company's revenue is generally reported net of the cost for underlying products and services purchased through its payment solutions. In this report, the Company refers to this net revenue as "revenue". Revenues from contracts with customers, within the scope of ASC 606, "Revenue Recognition", represent approximately 85% of total consolidated revenues, net, for the six months ended June 30, 2025 and 2024. In its cross-border business, the Company enters into foreign currency forwards, option derivative contracts and swaps for its customers to facilitate future payments in foreign currencies. These contracts are accounted for in accordance with ASC 815, "Derivatives and Hedging" and represent approximately 8% of total consolidated revenues for the six months ended June 30, 2025 and 2024. Additionally, 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4% of total consolidated revenues, net for the six months ended June 30, 2025 and 2024. The Company's remaining revenue represents float revenue earned on invested customer funds in jurisdictions where permitted. Such revenue represented approximately 3% of consolidated revenues, net for the six months ended June 30, 2025 and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 by segment for the three and six months ended June 30, 2025 and 2024 was as follows (in millions, except percentages):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Segment*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60" w:type="dxa"/>
            <w:vAlign w:val="bottom"/>
          </w:tcPr>
          <w:p>
            <w:pPr>
              <w:spacing w:after="0"/>
              <w:rPr>
                <w:sz w:val="18"/>
                <w:szCs w:val="18"/>
                <w:color w:val="auto"/>
              </w:rPr>
            </w:pP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Payments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Payments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Payments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2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r>
              <w:rPr>
                <w:rFonts w:ascii="Times New Roman" w:cs="Times New Roman" w:eastAsia="Times New Roman" w:hAnsi="Times New Roman"/>
                <w:sz w:val="18"/>
                <w:szCs w:val="18"/>
                <w:u w:val="single" w:color="auto"/>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r>
              <w:rPr>
                <w:rFonts w:ascii="Times New Roman" w:cs="Times New Roman" w:eastAsia="Times New Roman" w:hAnsi="Times New Roman"/>
                <w:sz w:val="18"/>
                <w:szCs w:val="18"/>
                <w:u w:val="single" w:color="auto"/>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Revenue by geography for the three and six months ended June 30, 2025 and 2024 was as follows (in millions, except percentages):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Geography*</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right="560"/>
        <w:spacing w:after="0" w:line="237" w:lineRule="auto"/>
        <w:rPr>
          <w:sz w:val="20"/>
          <w:szCs w:val="20"/>
          <w:color w:val="auto"/>
        </w:rPr>
      </w:pPr>
      <w:r>
        <w:rPr>
          <w:rFonts w:ascii="Times New Roman" w:cs="Times New Roman" w:eastAsia="Times New Roman" w:hAnsi="Times New Roman"/>
          <w:sz w:val="18"/>
          <w:szCs w:val="18"/>
          <w:color w:val="auto"/>
        </w:rPr>
        <w:t>*Columns may not calculate due to rounding. Disclosure has been conformed in all periods to align with current presentation, which is based on the geographic location of the legal entity.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11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for customers subject to ASC 606 were $35.9 million and $39.0 million as of June 30, 2025 and December 31, 2024, respectively. We expect to recognize approximately $27.8 million of these amounts in revenues within 12 months and the remaining $8.1 million over the next five years as of June 30, 2025. Revenue recognized in the six months ended June 30, 2025 that was included in the deferred revenue contract liability as of December 31, 2024 was approximately $20.7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Spot Trade Offsetting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spot trades to facilitate cross-currency corporate payments.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counterparty level, in its Consolidated Balance Sheets at their fair value. The following table presents the Company’s spot trade assets and liabilities at their fair value at June 30, 2025 and December 31, 2024 (in millions):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Offset on the</w:t>
            </w:r>
          </w:p>
        </w:tc>
        <w:tc>
          <w:tcPr>
            <w:tcW w:w="280" w:type="dxa"/>
            <w:vAlign w:val="bottom"/>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Offset on the</w:t>
            </w:r>
          </w:p>
        </w:tc>
        <w:tc>
          <w:tcPr>
            <w:tcW w:w="28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(7,795.7)</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(7,795.7)</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adopted ASU 2023-07, "Segment Reporting (Topic 280): Improvements to Reportable Segment Disclosures." Segment disclosures for the prior year period herein have been modified to conform with the new Accounting Standards Updates ("ASU") disclosure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No. 2023-09, "Income Taxes (Topic 740): Improvements to Income Tax Disclosures" ("ASU 2023-09").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ASU 2023-09 should be applied on a prospective basis, but retrospective application is permitted. We are currently evaluating the impact that this guidance will have on the disclosures within our consolidated financial statements.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73"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In November 2024, the FASB issued ASU No. 2024-03, "Disaggregation of Income Statement Expenses". The ASU, among other items, requires additional financial statement disclosures in tabular format disaggregating information about prescribed categories (including employee compensation, depreciation and amortization) underlying any relevant income statement expense captions. The ASU is effective on a prospective basis for fiscal years beginning after December 15, 2026, and interim periods within fiscal years beginning after December 15, 2027, with early adoption and retrospective application permitted. We are currently evaluating the impact this guidance will have on the disclosures within our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receivable and securitized accounts receivable include the following at June 30, 2025 and December 31, 2024 (in thousands):</w:t>
      </w:r>
    </w:p>
    <w:p>
      <w:pPr>
        <w:spacing w:after="0" w:line="154" w:lineRule="exact"/>
        <w:rPr>
          <w:sz w:val="20"/>
          <w:szCs w:val="20"/>
          <w:color w:val="auto"/>
        </w:rPr>
      </w:pPr>
    </w:p>
    <w:tbl>
      <w:tblPr>
        <w:tblLayout w:type="fixed"/>
        <w:tblInd w:w="10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domestic accounts receivable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945,714</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domestic securitized accounts receivable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1,323,000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foreign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1,640,398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1,278,543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receivables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3,547,257</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(133,757)</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and securitized accounts receivables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4,240,292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3,413,500</w:t>
            </w:r>
          </w:p>
        </w:tc>
      </w:tr>
      <w:tr>
        <w:trPr>
          <w:trHeight w:val="21"/>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Company maintains a $1.8 billion revolving trade accounts receivable securitization facility (as amended from time to time, the "Securitization Facility"). Accounts receivable collateralized within our Securitization Facility relate to trade receivables resulting primarily from charge card activity and other customer receivables in the U.S. Pursuant to the terms of the Securitization Facility, the Company transfers in the form of a legal sale certain of its domestic receivables, on a revolving basis, to FLEETCOR Funding LLC ("Funding"), a wholly-owned bankruptcy remote consolidated subsidiary. In turn, Funding transfers in the form of a legal sale, without recourse, on a revolving basis, an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may be financed with the sale of highly-rated commercial paper.</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utilizes proceeds from the securitized assets as an alternative to other forms of financing to reduce its overall borrowing costs. The Company has agreed to continue servicing the sold receivables for the financial institution at market rates, which approximates the Company’s cost of servicing. Funding determines the level of funding achieved by the sale of trade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the earlier of January 24, 2028 or the first maturity date of any loan under the Company's Credit Agreement, which is June 24, 2027.</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roll forward of the Company’s allowance for credit losses related to accounts receivable for the six months ended June 30, 2025 and 2024 is as follows (in thousands):</w:t>
      </w:r>
    </w:p>
    <w:p>
      <w:pPr>
        <w:spacing w:after="0" w:line="97" w:lineRule="exact"/>
        <w:rPr>
          <w:sz w:val="20"/>
          <w:szCs w:val="20"/>
          <w:color w:val="auto"/>
        </w:rPr>
      </w:pPr>
    </w:p>
    <w:tbl>
      <w:tblPr>
        <w:tblLayout w:type="fixed"/>
        <w:tblInd w:w="1780" w:type="dxa"/>
        <w:tblCellMar>
          <w:top w:w="0" w:type="dxa"/>
          <w:left w:w="0" w:type="dxa"/>
          <w:bottom w:w="0" w:type="dxa"/>
          <w:right w:w="0" w:type="dxa"/>
        </w:tblCellMar>
      </w:tblPr>
      <w:tr>
        <w:trPr>
          <w:trHeight w:val="215"/>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180,163</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53,485</w:t>
            </w: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(85,262)</w:t>
            </w:r>
          </w:p>
        </w:tc>
      </w:tr>
      <w:tr>
        <w:trPr>
          <w:trHeight w:val="229"/>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foreign currency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139,338</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provision for credit losses increased during the six months ended June 30, 2025 versus the comparable prior period primarily due to growth of the business, as credit loss expense as a percentage of spend was consistent with the comparable prior period. Write-offs include receivables for which a full allowance was previously provided.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which are measured at fair value on a recurring basis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2,058,190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2,058,190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2,168,234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2,168,234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739,377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739,377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level within the fair value hierarchy and the measurement technique are reviewed quarterly. The valuation techniques and inputs used to estimate the fair value of the Company's Level 2 assets and liabilities are consistent with those used at December 31, 2024. Transfers between levels are deemed to have occurred at the end of the quarter. There were no transfers between fair value levels during the periods presented for June 30, 2025 and December 31, 2024.</w:t>
      </w:r>
    </w:p>
    <w:p>
      <w:pPr>
        <w:spacing w:after="0" w:line="5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the carrying value of its investments. The carrying amount of investments without readily determinable fair values was $58.3 million and $60.1 million at June 30, 2025 and December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(the "Board") has approved a stock repurchase program (as updated from time to time, the "Program") authorizing the Company to repurchase up to $9.1 billion of its common stock from time to time until February 4, 2026.</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repurchased 249,563 shares for an aggregate purchase price of $90.5 million. Since the beginning of the Program through June 30, 2025, 33,340,243 shares have been repurchased for an aggregate purchase price of $7.9 billion, leaving the Company up to $1.2 billion of remaining authorization available under the Program for future repurchases of shares of its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recognized within general and administrative expenses in the Unaudited Consolidated Statements of Income related to stock-based compensation for the three and six months ended June 30, 2025 and 2024 (in thousands):</w:t>
      </w:r>
    </w:p>
    <w:p>
      <w:pPr>
        <w:spacing w:after="0" w:line="90"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3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r>
      <w:tr>
        <w:trPr>
          <w:trHeight w:val="22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40,845</w:t>
            </w: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tax benefits recorded on stock-based compensation and upon the exercises of options were $25.9 million and $18.4 million for the six months ended June 30, 2025 and 2024, respectively.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outstanding stock awards as of June 30, 2025 (cost in thousands):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of Expense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Recognition Remaining</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69,363</w:t>
            </w:r>
          </w:p>
        </w:tc>
        <w:tc>
          <w:tcPr>
            <w:tcW w:w="2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summarizes the changes in the number of shares of stock options outstanding for the six months ended June 30, 2025 (shares and aggregate intrinsic value in thousands):</w:t>
      </w: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Fair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80" w:type="dxa"/>
            <w:vAlign w:val="bottom"/>
          </w:tcPr>
          <w:p>
            <w:pPr>
              <w:spacing w:after="0"/>
              <w:rPr>
                <w:sz w:val="14"/>
                <w:szCs w:val="14"/>
                <w:color w:val="auto"/>
              </w:rPr>
            </w:pPr>
          </w:p>
        </w:tc>
        <w:tc>
          <w:tcPr>
            <w:tcW w:w="1480" w:type="dxa"/>
            <w:vAlign w:val="bottom"/>
            <w:gridSpan w:val="3"/>
          </w:tcPr>
          <w:p>
            <w:pPr>
              <w:jc w:val="center"/>
              <w:ind w:right="410"/>
              <w:spacing w:after="0" w:line="162" w:lineRule="exact"/>
              <w:rPr>
                <w:sz w:val="20"/>
                <w:szCs w:val="20"/>
                <w:color w:val="auto"/>
              </w:rPr>
            </w:pPr>
            <w:r>
              <w:rPr>
                <w:rFonts w:ascii="Times New Roman" w:cs="Times New Roman" w:eastAsia="Times New Roman" w:hAnsi="Times New Roman"/>
                <w:sz w:val="16"/>
                <w:szCs w:val="16"/>
                <w:b w:val="1"/>
                <w:bCs w:val="1"/>
                <w:color w:val="auto"/>
              </w:rPr>
              <w:t>Granted</w:t>
            </w:r>
          </w:p>
        </w:tc>
        <w:tc>
          <w:tcPr>
            <w:tcW w:w="102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6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During the Period</w:t>
            </w: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191.97</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364,092</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80,756</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to vest as of June 30, 2025</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exercisable at June 30, 2025 was $230.3 million. The weighted average remaining contractual term of options exercisable at June 30, 2025 was 3.2 years.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number of shares of restricted stock awards and restricted stock units outstanding for the six months ended June 30, 2025 (shares in thousands):</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4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266.22</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20" w:type="dxa"/>
            <w:vAlign w:val="bottom"/>
            <w:tcBorders>
              <w:top w:val="single" w:sz="8" w:color="CCEEFF"/>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and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Acquisition</w:t>
      </w:r>
    </w:p>
    <w:p>
      <w:pPr>
        <w:spacing w:after="0" w:line="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In February 2025, the Company acquired 100% of Gringo, a leading Brazil-based vehicle registration and compliance payment company, for approximately $153.7 million, net of cash and cash equivalents acquired of approximately $10.2 million. Immediately prior to the acquisition, the Company infused capital equal to the purchase price into Zapay, one of the Company's less than wholly owned subsidiaries, in order for Zapay to complete the acquisition of Gringo. As a result of the capital infusion by the Company, the Company's controlling interest in Zapay increased to approximately 86%. This transaction, which was accounted for separately from the business acquisition, was recorded as an equity transaction. The Company financed the acquisition using available cash. Results from the Gringo acquisition have been included in the Company's Vehicle Payments segment from the date of acquisition.</w:t>
      </w:r>
    </w:p>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Gringo acquisition was accounted for as a business combination. The related acquisition accounting is preliminary as the Company is still completing the valuation of intangible assets, income taxes, working capital and contingencies. None of the goodwill attributable to the acquisition of Gringo is expected to be deductible for tax purposes. Noncompete agreements signed in conjunction with this acquisition were accounted for separately from the business acquisition.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acquisition accounting for the Gringo acquisition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122,362</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34,537</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Pr>
          <w:p>
            <w:pPr>
              <w:spacing w:after="0"/>
              <w:rPr>
                <w:sz w:val="20"/>
                <w:szCs w:val="20"/>
                <w:color w:val="auto"/>
              </w:rPr>
            </w:pPr>
          </w:p>
        </w:tc>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 indefinite lived</w:t>
            </w: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and vendor relationships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 to 20</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34,537</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2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expanded its long-standing strategic partnership agreement with Mastercard to deliver an enhanced suite of corporate cross-border payment solutions. The transaction also includes an investment in the Company's Cross-Border business with Mastercard acquiring a 2.8% interest in the Cross-Border business for $300 million. For six months starting on July 1, 2027 (subject to extension if investment closing is delayed), Mastercard will have the right to sell its interest back to the Company. If Mastercard does not exercise that right, for four months starting on April 1, 2028 (subject to extension if investment closing is delayed), the Company will have a reciprocal repurchase right. In each case, the purchase price is the amount of invested capital plus 8% per annum, compounded annually. The investment into the Company’s Cross-Border business is expected to close during the second half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Investment</w:t>
      </w:r>
    </w:p>
    <w:p>
      <w:pPr>
        <w:spacing w:after="0" w:line="16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May 2025, the Company and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transaction is expected to close in the fourth quarter of 2025, subject to regulatory approvals, AvidXchange shareholder approval and other standard closing conditions.</w:t>
      </w:r>
    </w:p>
    <w:p>
      <w:pPr>
        <w:spacing w:after="0" w:line="14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Company expects to invest approximately $550 million for approximately 34% of the equity in the limited partnership with TPG for an enterprise valuation of approximately $1.9 billion. The partnership will utilize approximately $450 million of debt financing to consummate the transaction. TPG will hold approximately 56% of the equity, and the management team of AvidXchange will hold the remainder. In addition to other terms, the limited partnership agreement provides that, 33 months after the closing of the AvidXchange acquisition, the Company will have the right to acquire all the remaining outstanding equity in the limited partnership for approximately 2.5 times invested capital. If the Company does not exercise such right to acquire all of the remaining outstanding equity and TPG decides to sell the limited partnership to a third party within a period of 15 months thereafter, the Company will guarantee a return to its partners, subject to certain limitations, of approximately 1.6 times invested capital (the minimum return payment). The partnership will ultimately need to sell AvidXchange in 2029 for an approximately similar valuation as today’s acquisition price to avoid the requirement to pay any minimum return.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Acquisitions</w:t>
      </w:r>
    </w:p>
    <w:p>
      <w:pPr>
        <w:spacing w:after="0" w:line="16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In March 2024, the Company acquired 70% of the outstanding stock of Zapay, a Brazil-based digital consumer mobility solution for paying vehicle-related taxes and compliance fees, for approximately $59.5 million, net of cash. As part of the agreement, the Company has the right to acquire the remainder of Zapay in four years from the acquisition date. The majority investment in Zapay further scales the Company's Vehicle Payments business in Brazil. The Company recorded goodwill of approximately $73.3 million representing the strategic benefits of the majority investment in Zapay. None of the goodwill attributable to the acquisition of Zapay is deductible for tax purposes.</w:t>
      </w:r>
    </w:p>
    <w:p>
      <w:pPr>
        <w:spacing w:after="0" w:line="134"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In July 2024, the Company acquired 100% of the stock of Paymerang, a U.S.-based leader in accounts payables automation solutions, for approximately $179.2 million, net of cash and cash equivalents and restricted cash acquired of $309 million. The Company preliminarily recorded goodwill of approximately $303.9 million representing the strategic benefits of the acquisition, which expands Corpay's presence in several markets, including education, healthcare, hospitality and manufacturing. None of the goodwill attributable to the acquisition of Paymerang is expected to be deductible for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2024, the Company acquired 100% of GPS Capital Markets, LLC ("GPS") for approximately $577.1 million, net of cash and cash equivalents</w:t>
      </w:r>
    </w:p>
    <w:p>
      <w:pPr>
        <w:spacing w:after="0" w:line="221" w:lineRule="auto"/>
        <w:rPr>
          <w:sz w:val="20"/>
          <w:szCs w:val="20"/>
          <w:color w:val="auto"/>
        </w:rPr>
      </w:pPr>
      <w:r>
        <w:rPr>
          <w:rFonts w:ascii="Times New Roman" w:cs="Times New Roman" w:eastAsia="Times New Roman" w:hAnsi="Times New Roman"/>
          <w:sz w:val="18"/>
          <w:szCs w:val="18"/>
          <w:color w:val="auto"/>
        </w:rPr>
        <w:t>and restricted cash acquired of $190.7 million. GPS provides business-to-business cross-border and treasury management solutions to upper middle market</w:t>
      </w:r>
    </w:p>
    <w:p>
      <w:pPr>
        <w:spacing w:after="0" w:line="235" w:lineRule="auto"/>
        <w:rPr>
          <w:sz w:val="20"/>
          <w:szCs w:val="20"/>
          <w:color w:val="auto"/>
        </w:rPr>
      </w:pPr>
      <w:r>
        <w:rPr>
          <w:rFonts w:ascii="Times New Roman" w:cs="Times New Roman" w:eastAsia="Times New Roman" w:hAnsi="Times New Roman"/>
          <w:sz w:val="18"/>
          <w:szCs w:val="18"/>
          <w:color w:val="auto"/>
        </w:rPr>
        <w:t>companies, primarily in the U.S. As the Company acquired a single member LLC, the acquisition allowed for all U.S. assets to be stepped-up to fair value</w:t>
      </w:r>
    </w:p>
    <w:p>
      <w:pPr>
        <w:spacing w:after="0" w:line="219" w:lineRule="auto"/>
        <w:rPr>
          <w:sz w:val="20"/>
          <w:szCs w:val="20"/>
          <w:color w:val="auto"/>
        </w:rPr>
      </w:pPr>
      <w:r>
        <w:rPr>
          <w:rFonts w:ascii="Times New Roman" w:cs="Times New Roman" w:eastAsia="Times New Roman" w:hAnsi="Times New Roman"/>
          <w:sz w:val="18"/>
          <w:szCs w:val="18"/>
          <w:color w:val="auto"/>
        </w:rPr>
        <w:t>at the acquisition date and goodwill to be deductible for federal income tax purposes. The Company preliminarily recorded goodwill of approximately</w:t>
      </w:r>
    </w:p>
    <w:p>
      <w:pPr>
        <w:spacing w:after="0" w:line="219" w:lineRule="auto"/>
        <w:rPr>
          <w:sz w:val="20"/>
          <w:szCs w:val="20"/>
          <w:color w:val="auto"/>
        </w:rPr>
      </w:pPr>
      <w:r>
        <w:rPr>
          <w:rFonts w:ascii="Times New Roman" w:cs="Times New Roman" w:eastAsia="Times New Roman" w:hAnsi="Times New Roman"/>
          <w:sz w:val="18"/>
          <w:szCs w:val="18"/>
          <w:color w:val="auto"/>
        </w:rPr>
        <w:t>$335.2 million representing the strategic benefits of the acquisition of GPS, which further scales the Company's cross-border solution. All of the goodwill</w:t>
      </w:r>
    </w:p>
    <w:p>
      <w:pPr>
        <w:spacing w:after="0"/>
        <w:rPr>
          <w:sz w:val="20"/>
          <w:szCs w:val="20"/>
          <w:color w:val="auto"/>
        </w:rPr>
      </w:pPr>
      <w:r>
        <w:rPr>
          <w:rFonts w:ascii="Times New Roman" w:cs="Times New Roman" w:eastAsia="Times New Roman" w:hAnsi="Times New Roman"/>
          <w:sz w:val="18"/>
          <w:szCs w:val="18"/>
          <w:color w:val="auto"/>
        </w:rPr>
        <w:t>attributable to the acquisition of GPS is expected to be deductible for tax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consideration paid for these acquisitions was approximately $815.9 million, net of cash and cash equivalents and restricted cash of $509.0</w:t>
      </w:r>
    </w:p>
    <w:p>
      <w:pPr>
        <w:spacing w:after="0" w:line="237" w:lineRule="auto"/>
        <w:rPr>
          <w:sz w:val="20"/>
          <w:szCs w:val="20"/>
          <w:color w:val="auto"/>
        </w:rPr>
      </w:pPr>
      <w:r>
        <w:rPr>
          <w:rFonts w:ascii="Times New Roman" w:cs="Times New Roman" w:eastAsia="Times New Roman" w:hAnsi="Times New Roman"/>
          <w:sz w:val="18"/>
          <w:szCs w:val="18"/>
          <w:color w:val="auto"/>
        </w:rPr>
        <w:t>million. The Company financed the acquisitions using a combination of available cash and borrowings under its existing credit facility. Results from these</w:t>
      </w:r>
    </w:p>
    <w:p>
      <w:pPr>
        <w:spacing w:after="0" w:line="219" w:lineRule="auto"/>
        <w:rPr>
          <w:sz w:val="20"/>
          <w:szCs w:val="20"/>
          <w:color w:val="auto"/>
        </w:rPr>
      </w:pPr>
      <w:r>
        <w:rPr>
          <w:rFonts w:ascii="Times New Roman" w:cs="Times New Roman" w:eastAsia="Times New Roman" w:hAnsi="Times New Roman"/>
          <w:sz w:val="18"/>
          <w:szCs w:val="18"/>
          <w:color w:val="auto"/>
        </w:rPr>
        <w:t>acquisitions have been included in the Company's consolidated results from the respective date of each acquisition. Results from the Zapay acquisition</w:t>
      </w:r>
    </w:p>
    <w:p>
      <w:pPr>
        <w:spacing w:after="0" w:line="235" w:lineRule="auto"/>
        <w:rPr>
          <w:sz w:val="20"/>
          <w:szCs w:val="20"/>
          <w:color w:val="auto"/>
        </w:rPr>
      </w:pPr>
      <w:r>
        <w:rPr>
          <w:rFonts w:ascii="Times New Roman" w:cs="Times New Roman" w:eastAsia="Times New Roman" w:hAnsi="Times New Roman"/>
          <w:sz w:val="18"/>
          <w:szCs w:val="18"/>
          <w:color w:val="auto"/>
        </w:rPr>
        <w:t>have been included in the Company's Vehicle Payments segment and the results of both Paymerang and GPS have been included in the Company's</w:t>
      </w:r>
    </w:p>
    <w:p>
      <w:pPr>
        <w:spacing w:after="0" w:line="219" w:lineRule="auto"/>
        <w:rPr>
          <w:sz w:val="20"/>
          <w:szCs w:val="20"/>
          <w:color w:val="auto"/>
        </w:rPr>
      </w:pPr>
      <w:r>
        <w:rPr>
          <w:rFonts w:ascii="Times New Roman" w:cs="Times New Roman" w:eastAsia="Times New Roman" w:hAnsi="Times New Roman"/>
          <w:sz w:val="18"/>
          <w:szCs w:val="18"/>
          <w:color w:val="auto"/>
        </w:rPr>
        <w:t>Corporate Payments segment. In connection with certain of the 2024 acquisitions, the Company signed noncompete agreements valued at approximately</w:t>
      </w:r>
    </w:p>
    <w:p>
      <w:pPr>
        <w:spacing w:after="0" w:line="219" w:lineRule="auto"/>
        <w:rPr>
          <w:sz w:val="20"/>
          <w:szCs w:val="20"/>
          <w:color w:val="auto"/>
        </w:rPr>
      </w:pPr>
      <w:r>
        <w:rPr>
          <w:rFonts w:ascii="Times New Roman" w:cs="Times New Roman" w:eastAsia="Times New Roman" w:hAnsi="Times New Roman"/>
          <w:sz w:val="18"/>
          <w:szCs w:val="18"/>
          <w:color w:val="auto"/>
        </w:rPr>
        <w:t>$26.6 million, which were accounted for separately from the business acquisition and recorded within other intangibles, net in the Company’s Consolidated</w:t>
      </w:r>
    </w:p>
    <w:p>
      <w:pPr>
        <w:spacing w:after="0"/>
        <w:rPr>
          <w:sz w:val="20"/>
          <w:szCs w:val="20"/>
          <w:color w:val="auto"/>
        </w:rPr>
      </w:pPr>
      <w:r>
        <w:rPr>
          <w:rFonts w:ascii="Times New Roman" w:cs="Times New Roman" w:eastAsia="Times New Roman" w:hAnsi="Times New Roman"/>
          <w:sz w:val="18"/>
          <w:szCs w:val="18"/>
          <w:color w:val="auto"/>
        </w:rPr>
        <w:t>Balance Sheets.</w:t>
      </w:r>
    </w:p>
    <w:p>
      <w:pPr>
        <w:spacing w:after="0" w:line="124"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All of the 2024 acquisitions are accounted for as business combinations. Acquisition accounting for Paymerang and GPS is still preliminary. The primary areas of the preliminary acquisition accounting that are not yet finalized relate to the following: (i) finalizing the review and valuation of intangible assets, including key assumptions, inputs and estimates and certain useful life assumptions, (ii) compiling and reviewing customer deposits records, (iii) finalizing the Company's estimate of the impact of acquisition accounting on deferred income taxes or liabilities, (iv) finalizing the Company's review of certain working capital accounts acquired, and (v) finalizing the evaluation and valuation of certain legal matters and/or other loss contingencies, including those that the Company may not yet be aware of but meet the requirement to qualify as a pre-acquisition contingency.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There were no material measurement period adjustments recorded during the three and six months ended June 30, 2025 related to the 2024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acquisition accounting for the 2024 business acquisitions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22,898</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72,394</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40,909</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712,394</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584,102</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(55,504)</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(463,627)</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(94,873)</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818,693</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(29,437)</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789,256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14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 indefinite lived</w:t>
            </w: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 - other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 to 5</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4 to 5</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and vendor relationships</w:t>
            </w:r>
          </w:p>
        </w:tc>
        <w:tc>
          <w:tcPr>
            <w:tcW w:w="25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 to 20</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534,479</w:t>
            </w:r>
          </w:p>
        </w:tc>
      </w:tr>
      <w:tr>
        <w:trPr>
          <w:trHeight w:val="248"/>
        </w:trPr>
        <w:tc>
          <w:tcPr>
            <w:tcW w:w="4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584,102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is as follows (in thousands):</w:t>
      </w:r>
    </w:p>
    <w:p>
      <w:pPr>
        <w:spacing w:after="0" w:line="14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260" w:type="dxa"/>
            <w:vAlign w:val="bottom"/>
          </w:tcPr>
          <w:p>
            <w:pPr>
              <w:spacing w:after="0"/>
              <w:rPr>
                <w:sz w:val="16"/>
                <w:szCs w:val="16"/>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Acquisitions</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Accounting</w:t>
            </w: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5,984,667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6,334,018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8"/>
        <w:spacing w:after="0" w:line="229" w:lineRule="auto"/>
        <w:tabs>
          <w:tab w:leader="none" w:pos="8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recognition of preliminary goodwill assigned to the Vehicle Payments segment related to the Gringo acquisition completed by the Company during the six months ended June 30, 2025.</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2025, the Company's goodwill is presented net of accumulated impairment losses of $90.0 million, all of which were recorded during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other intangibles consisted of the following (in thousands):</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37"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Avg</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Lives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2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57"/>
        </w:trPr>
        <w:tc>
          <w:tcPr>
            <w:tcW w:w="21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Customer and vendor</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3,579,274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1,852,563</w:t>
            </w:r>
          </w:p>
        </w:tc>
        <w:tc>
          <w:tcPr>
            <w:tcW w:w="0" w:type="dxa"/>
            <w:vAlign w:val="bottom"/>
          </w:tcPr>
          <w:p>
            <w:pPr>
              <w:spacing w:after="0"/>
              <w:rPr>
                <w:sz w:val="1"/>
                <w:szCs w:val="1"/>
                <w:color w:val="auto"/>
              </w:rPr>
            </w:pPr>
          </w:p>
        </w:tc>
      </w:tr>
      <w:tr>
        <w:trPr>
          <w:trHeight w:val="176"/>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trademarks—indefinite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lived</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410,391</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trademarks—other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52,992</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61,258</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4,480,374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2,372,305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4,311,788</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-2540</wp:posOffset>
            </wp:positionV>
            <wp:extent cx="50488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-107315</wp:posOffset>
            </wp:positionV>
            <wp:extent cx="50488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foreign exchange rates resulted in a $59.6 million increase to the net carrying values of other intangibles in the six months ended June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six months ended June 30, 2025 and 2024 was $125.3 million and $110.6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estimated amortization of intangible assets at June 30, 2025 is as follows (in thousands):</w:t>
      </w:r>
    </w:p>
    <w:p>
      <w:pPr>
        <w:spacing w:after="0" w:line="203" w:lineRule="exact"/>
        <w:rPr>
          <w:sz w:val="20"/>
          <w:szCs w:val="20"/>
          <w:color w:val="auto"/>
        </w:rPr>
      </w:pPr>
    </w:p>
    <w:tbl>
      <w:tblPr>
        <w:tblLayout w:type="fixed"/>
        <w:tblInd w:w="2860" w:type="dxa"/>
        <w:tblCellMar>
          <w:top w:w="0" w:type="dxa"/>
          <w:left w:w="0" w:type="dxa"/>
          <w:bottom w:w="0" w:type="dxa"/>
          <w:right w:w="0" w:type="dxa"/>
        </w:tblCellMar>
      </w:tblP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8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236,509</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221,808</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207,850</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195,611</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179,182</w:t>
            </w: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887,642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is party to a $8.25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footnote 2, the Company is also party to the Securitization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Company’s debt instruments under the Credit Agreement and the Securitization Facility are as follows (in thousands):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note payable, net of discounts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3,083,037</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note payable, net of discounts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2,327,174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facilities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1,262,000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6,673,080</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 Facility</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1,323,000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7,996,080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2,248,617</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2,769,974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5,869,083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5,226,106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8,117,700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7,996,080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On February 20, 2025, the Company entered into the sixteenth amendment to the Credit Agreement. The amendment increased the Term Loan B commitments by $750 million. The Company primarily used the Term Loan B proceeds to pay down existing borrowings under the revolving credit facility. The maturity dates and the interest rates for the revolving credit facility, Term Loan A commitments and Term Loan B commitments were unchanged by this amendment.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and non-financial covenants under the Credit Agreement and Securitization Facility at June 30,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Company’s total notes payable, credit agreements and other obligations at June 30, 2025 were as follows (in thousands):</w:t>
      </w:r>
    </w:p>
    <w:p>
      <w:pPr>
        <w:spacing w:after="0" w:line="216" w:lineRule="exact"/>
        <w:rPr>
          <w:sz w:val="20"/>
          <w:szCs w:val="20"/>
          <w:color w:val="auto"/>
        </w:rPr>
      </w:pPr>
    </w:p>
    <w:tbl>
      <w:tblPr>
        <w:tblLayout w:type="fixed"/>
        <w:tblInd w:w="2020" w:type="dxa"/>
        <w:tblCellMar>
          <w:top w:w="0" w:type="dxa"/>
          <w:left w:w="0" w:type="dxa"/>
          <w:bottom w:w="0" w:type="dxa"/>
          <w:right w:w="0" w:type="dxa"/>
        </w:tblCellMar>
      </w:tblP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518,674</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2,786,203</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2,996,342</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6,498,359</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discounts and issuance costs included in debt</w:t>
            </w:r>
          </w:p>
        </w:tc>
        <w:tc>
          <w:tcPr>
            <w:tcW w:w="5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6,478,700</w:t>
            </w:r>
          </w:p>
        </w:tc>
      </w:tr>
      <w:tr>
        <w:trPr>
          <w:trHeight w:val="21"/>
        </w:trPr>
        <w:tc>
          <w:tcPr>
            <w:tcW w:w="5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effective tax rate was 27.7% and 24.7% for the three months ended June 30, 2025 and 2024, respectively. The Company's effective tax rate was 26.7% and 24.7% for the six months ended June 30, 2025 and 2024, respectively. Income tax expense is based on an estimated annual effective rate, which requires the Company to make its best estimate of annual pretax accounting income or loss before consideration of tax or benefit discretely recognized in the period in which such occur. Our effective income tax rate for the three and six months ended June 30, 2025 differs from the U.S. federal statutory rate due primarily to the unfavorable impact of state taxes net of federal benefits, additional taxes on undistributed foreign-sourced income and foreign withholding tax-es on interest income from intercompany notes. For the three and six months ended June 30, 2025, the effective tax rate increased compared to the comparable prior year periods due to the mix of earnings, the adoption of Pillar Two legislation, which resulted in a global minimum tax at a rate of 15% that impacted two jurisdictions in which the Company operates, and due to new state apportionment rules resulting in the revaluation of deferreds in the current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calculation and reconciliation of basic and diluted earnings per share attributable to Corpay for the three and six months ended June 30, 2025 and 2024 is as follows (in thousands, except per share data):</w:t>
      </w:r>
    </w:p>
    <w:p>
      <w:pPr>
        <w:spacing w:after="0" w:line="97"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70,546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70,107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70,432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70,934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72,516</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earnings per share attributable to Corpay for the three months ended June 30, 2025 and 2024 excludes the effect of 0.3 million and 0.5 million shares, respectively, of common stock that may be issued upon the exercise of employee stock options because such effect would be anti-dilutive. Diluted earnings per share attributable to Corpay also excludes the effect of an immaterial amount of performance-based restricted stock for which the performance criteria have not yet been achieved for the three month periods ended June 30, 2025 and 2024.</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 results are as follows for the three and six month periods ended June 30, 2025 and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Vehicle</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18"/>
                <w:szCs w:val="18"/>
                <w:b w:val="1"/>
                <w:bCs w:val="1"/>
                <w:color w:val="auto"/>
                <w:w w:val="96"/>
              </w:rPr>
              <w:t>Payments</w:t>
            </w:r>
            <w:r>
              <w:rPr>
                <w:rFonts w:ascii="Times New Roman" w:cs="Times New Roman" w:eastAsia="Times New Roman" w:hAnsi="Times New Roman"/>
                <w:sz w:val="23"/>
                <w:szCs w:val="23"/>
                <w:b w:val="1"/>
                <w:bCs w:val="1"/>
                <w:color w:val="auto"/>
                <w:w w:val="96"/>
                <w:vertAlign w:val="superscript"/>
              </w:rPr>
              <w:t>2</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1,102,030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238,517</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176,994</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479,390</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393,090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gridSpan w:val="8"/>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Vehicle Payments</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Other segment disclosures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52,636</w:t>
            </w:r>
          </w:p>
        </w:tc>
        <w:tc>
          <w:tcPr>
            <w:tcW w:w="0" w:type="dxa"/>
            <w:vAlign w:val="bottom"/>
          </w:tcPr>
          <w:p>
            <w:pPr>
              <w:spacing w:after="0"/>
              <w:rPr>
                <w:sz w:val="1"/>
                <w:szCs w:val="1"/>
                <w:color w:val="auto"/>
              </w:rPr>
            </w:pPr>
          </w:p>
        </w:tc>
      </w:tr>
      <w:tr>
        <w:trPr>
          <w:trHeight w:val="441"/>
        </w:trPr>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8"/>
                <w:szCs w:val="18"/>
                <w:b w:val="1"/>
                <w:bCs w:val="1"/>
                <w:color w:val="auto"/>
                <w:w w:val="98"/>
              </w:rPr>
              <w:t>Vehicle</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line="240" w:lineRule="exact"/>
              <w:rPr>
                <w:sz w:val="20"/>
                <w:szCs w:val="20"/>
                <w:color w:val="auto"/>
              </w:rPr>
            </w:pPr>
            <w:r>
              <w:rPr>
                <w:rFonts w:ascii="Times New Roman" w:cs="Times New Roman" w:eastAsia="Times New Roman" w:hAnsi="Times New Roman"/>
                <w:sz w:val="18"/>
                <w:szCs w:val="18"/>
                <w:b w:val="1"/>
                <w:bCs w:val="1"/>
                <w:color w:val="auto"/>
                <w:w w:val="96"/>
              </w:rPr>
              <w:t>Payments</w:t>
            </w:r>
            <w:r>
              <w:rPr>
                <w:rFonts w:ascii="Times New Roman" w:cs="Times New Roman" w:eastAsia="Times New Roman" w:hAnsi="Times New Roman"/>
                <w:sz w:val="23"/>
                <w:szCs w:val="23"/>
                <w:b w:val="1"/>
                <w:bCs w:val="1"/>
                <w:color w:val="auto"/>
                <w:w w:val="96"/>
                <w:vertAlign w:val="superscript"/>
              </w:rPr>
              <w:t>2</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2,107,697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460,361</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223,334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333,953</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125,362</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480,357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297,111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906,514</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185,913</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720,601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Vehicle Payments</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Other segment disclosures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97,407</w:t>
            </w:r>
          </w:p>
        </w:tc>
        <w:tc>
          <w:tcPr>
            <w:tcW w:w="0" w:type="dxa"/>
            <w:vAlign w:val="bottom"/>
          </w:tcPr>
          <w:p>
            <w:pPr>
              <w:spacing w:after="0"/>
              <w:rPr>
                <w:sz w:val="1"/>
                <w:szCs w:val="1"/>
                <w:color w:val="auto"/>
              </w:rPr>
            </w:pPr>
          </w:p>
        </w:tc>
      </w:tr>
      <w:tr>
        <w:trPr>
          <w:trHeight w:val="508"/>
        </w:trPr>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Vehicle</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18"/>
                <w:szCs w:val="18"/>
                <w:b w:val="1"/>
                <w:bCs w:val="1"/>
                <w:color w:val="auto"/>
                <w:w w:val="96"/>
              </w:rPr>
              <w:t>Payments</w:t>
            </w:r>
            <w:r>
              <w:rPr>
                <w:rFonts w:ascii="Times New Roman" w:cs="Times New Roman" w:eastAsia="Times New Roman" w:hAnsi="Times New Roman"/>
                <w:sz w:val="23"/>
                <w:szCs w:val="23"/>
                <w:b w:val="1"/>
                <w:bCs w:val="1"/>
                <w:color w:val="auto"/>
                <w:w w:val="96"/>
                <w:vertAlign w:val="superscript"/>
              </w:rPr>
              <w:t>2</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975,710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209,199</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153,777</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54,829</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8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433,339</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94,677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334,202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gridSpan w:val="8"/>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Vehicle Payments</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5"/>
                <w:szCs w:val="15"/>
                <w:color w:val="auto"/>
              </w:rPr>
            </w:pPr>
          </w:p>
        </w:tc>
        <w:tc>
          <w:tcPr>
            <w:tcW w:w="130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5"/>
                <w:szCs w:val="15"/>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154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Other segment disclosures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44,097</w:t>
            </w:r>
          </w:p>
        </w:tc>
        <w:tc>
          <w:tcPr>
            <w:tcW w:w="0" w:type="dxa"/>
            <w:vAlign w:val="bottom"/>
          </w:tcPr>
          <w:p>
            <w:pPr>
              <w:spacing w:after="0"/>
              <w:rPr>
                <w:sz w:val="1"/>
                <w:szCs w:val="1"/>
                <w:color w:val="auto"/>
              </w:rPr>
            </w:pPr>
          </w:p>
        </w:tc>
      </w:tr>
      <w:tr>
        <w:trPr>
          <w:trHeight w:val="508"/>
        </w:trPr>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Vehicle</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18"/>
                <w:szCs w:val="18"/>
                <w:b w:val="1"/>
                <w:bCs w:val="1"/>
                <w:color w:val="auto"/>
                <w:w w:val="96"/>
              </w:rPr>
              <w:t>Payments</w:t>
            </w:r>
            <w:r>
              <w:rPr>
                <w:rFonts w:ascii="Times New Roman" w:cs="Times New Roman" w:eastAsia="Times New Roman" w:hAnsi="Times New Roman"/>
                <w:sz w:val="23"/>
                <w:szCs w:val="23"/>
                <w:b w:val="1"/>
                <w:bCs w:val="1"/>
                <w:color w:val="auto"/>
                <w:w w:val="96"/>
                <w:vertAlign w:val="superscript"/>
              </w:rPr>
              <w:t>2</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233,672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1,910,961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416,610</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305,039</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110,658</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net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8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830,677</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639,492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Vehicle Payments</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4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46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Other segment disclosures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85,289</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 Other includes our Gift and Payroll Card operating segments.</w:t>
      </w:r>
    </w:p>
    <w:p>
      <w:pPr>
        <w:spacing w:after="0" w:line="73" w:lineRule="exact"/>
        <w:rPr>
          <w:sz w:val="20"/>
          <w:szCs w:val="20"/>
          <w:color w:val="auto"/>
        </w:rPr>
      </w:pPr>
    </w:p>
    <w:p>
      <w:pPr>
        <w:ind w:left="100" w:hanging="92"/>
        <w:spacing w:after="0"/>
        <w:tabs>
          <w:tab w:leader="none" w:pos="1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from Gringo acquired in the first quarter of 2025 are reported in the Vehicle Payments segment from the date of acquisition.</w:t>
      </w:r>
    </w:p>
    <w:p>
      <w:pPr>
        <w:spacing w:after="0" w:line="55" w:lineRule="exact"/>
        <w:rPr>
          <w:rFonts w:ascii="Times New Roman" w:cs="Times New Roman" w:eastAsia="Times New Roman" w:hAnsi="Times New Roman"/>
          <w:sz w:val="23"/>
          <w:szCs w:val="23"/>
          <w:color w:val="auto"/>
          <w:vertAlign w:val="superscript"/>
        </w:rPr>
      </w:pPr>
    </w:p>
    <w:p>
      <w:pPr>
        <w:spacing w:after="0" w:line="23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Results from Zapay acquired in the first quarter of 2024 are reported in the Vehicle Payments segment from the date of acquisition.</w:t>
      </w:r>
    </w:p>
    <w:p>
      <w:pPr>
        <w:spacing w:after="0" w:line="1" w:lineRule="exact"/>
        <w:rPr>
          <w:sz w:val="20"/>
          <w:szCs w:val="20"/>
          <w:color w:val="auto"/>
        </w:rPr>
      </w:pPr>
    </w:p>
    <w:p>
      <w:pPr>
        <w:ind w:right="200" w:firstLine="8"/>
        <w:spacing w:after="0" w:line="224" w:lineRule="auto"/>
        <w:tabs>
          <w:tab w:leader="none" w:pos="10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assets for each reportable segment are not presented as the Chief Operating Decision Maker ("CODM") does not evaluate performance or allocate resources based on segment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8"/>
          <w:szCs w:val="18"/>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8"/>
          <w:szCs w:val="18"/>
          <w:color w:val="auto"/>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sought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 w:cs="Times New Roman" w:eastAsia="Times New Roman" w:hAnsi="Times New Roman"/>
          <w:sz w:val="18"/>
          <w:szCs w:val="18"/>
          <w:i w:val="1"/>
          <w:iCs w:val="1"/>
          <w:color w:val="auto"/>
        </w:rPr>
        <w:t>Jerrell Whitten, derivatively on behalf of FleetCor Technologies,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Ronald F. Clarke and Eric R. Dey, against Mr. Clarke and Mr. Dey </w:t>
      </w:r>
      <w:r>
        <w:rPr>
          <w:rFonts w:ascii="Times New Roman" w:cs="Times New Roman" w:eastAsia="Times New Roman" w:hAnsi="Times New Roman"/>
          <w:sz w:val="18"/>
          <w:szCs w:val="18"/>
          <w:color w:val="auto"/>
        </w:rPr>
        <w:t>in Gwinnett County, Georgia. On May 1, 2024, both pending derivative cases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to the Fulton County Metro Atlanta Business Case Division and consolidated as </w:t>
      </w:r>
      <w:r>
        <w:rPr>
          <w:rFonts w:ascii="Times New Roman" w:cs="Times New Roman" w:eastAsia="Times New Roman" w:hAnsi="Times New Roman"/>
          <w:sz w:val="18"/>
          <w:szCs w:val="18"/>
          <w:i w:val="1"/>
          <w:iCs w:val="1"/>
          <w:color w:val="auto"/>
        </w:rPr>
        <w:t>In re Corpay, Inc. Shareholder Derivative Litigation</w:t>
      </w:r>
      <w:r>
        <w:rPr>
          <w:rFonts w:ascii="Times New Roman" w:cs="Times New Roman" w:eastAsia="Times New Roman" w:hAnsi="Times New Roman"/>
          <w:sz w:val="18"/>
          <w:szCs w:val="18"/>
          <w:color w:val="auto"/>
        </w:rPr>
        <w:t>, CAFN 2023CV383303 (consolidated with CAFN 2023CV381421). On July 10, 2024, the defendants filed a motion to dismiss the consolidated lawsuit. The defendants dispute the allegations in the consolidated derivative action and intend to vigorously defend against the claims.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2025, the Court granted defendants’ motion to dismiss the consolidated lawsuit. Plaintiffs did not appeal.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w:t>
      </w:r>
    </w:p>
    <w:p>
      <w:pPr>
        <w:spacing w:after="0" w:line="7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On December 20, 2019, the FTC filed a lawsuit in the Northern District of Georgia against the Company and Ron Clarke. See FTC v. </w:t>
      </w:r>
      <w:r>
        <w:rPr>
          <w:rFonts w:ascii="Times New Roman" w:cs="Times New Roman" w:eastAsia="Times New Roman" w:hAnsi="Times New Roman"/>
          <w:sz w:val="17"/>
          <w:szCs w:val="17"/>
          <w:i w:val="1"/>
          <w:iCs w:val="1"/>
          <w:color w:val="auto"/>
        </w:rPr>
        <w:t>FleetCor</w:t>
      </w:r>
      <w:r>
        <w:rPr>
          <w:rFonts w:ascii="Times New Roman" w:cs="Times New Roman" w:eastAsia="Times New Roman" w:hAnsi="Times New Roman"/>
          <w:sz w:val="17"/>
          <w:szCs w:val="17"/>
          <w:color w:val="auto"/>
        </w:rPr>
        <w:t xml:space="preserve"> and Ronald F. Clarke, No. 19-cv-05727 (N.D. Ga.). The complaint alleges the Company and Clarke violated the FTC Act’s prohibitions on unfair and deceptive acts and practices. The complaint seeks among other things injunctive relief, consumer redress and costs of suit. The Company continues to believe that the FTC’s claims are without merit. On April 17, 2021, the FTC filed a motion for summary judgment. On April 22, 2021, the United States Supreme Court held unanimously in AMG Capital Management v. FTC that the FTC does not have authority under current law to seek monetary redress by means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t>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Oral argument in the Eleventh Circuit appeal was held on January 21, 2025.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 and Hedging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Derivatives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uses derivatives to facilitate cross-currency corporate payments by writing derivatives to customers within its cross-border solution. The Company writes derivatives, primarily foreign currency forward contracts, option contracts and swaps, mostly with small and medium size enterprises that are customers and derives a currency spread from this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transactions associated with the Company's cross-border solution include:</w:t>
      </w:r>
    </w:p>
    <w:p>
      <w:pPr>
        <w:spacing w:after="0" w:line="11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 contracts, </w:t>
      </w:r>
      <w:r>
        <w:rPr>
          <w:rFonts w:ascii="Times New Roman" w:cs="Times New Roman" w:eastAsia="Times New Roman" w:hAnsi="Times New Roman"/>
          <w:sz w:val="18"/>
          <w:szCs w:val="18"/>
          <w:color w:val="auto"/>
        </w:rPr>
        <w:t>which are commitments to buy or sell at a future date a currency at a contract price and will be settled in cash.</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contracts</w:t>
      </w:r>
      <w:r>
        <w:rPr>
          <w:rFonts w:ascii="Times New Roman" w:cs="Times New Roman" w:eastAsia="Times New Roman" w:hAnsi="Times New Roman"/>
          <w:sz w:val="18"/>
          <w:szCs w:val="18"/>
          <w:color w:val="auto"/>
        </w:rPr>
        <w:t>, which give the purchaser the right, but not the obligation, to buy or sell within a specified time a currency at a contracted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settled in cash.</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Swap contracts</w:t>
      </w:r>
      <w:r>
        <w:rPr>
          <w:rFonts w:ascii="Times New Roman" w:cs="Times New Roman" w:eastAsia="Times New Roman" w:hAnsi="Times New Roman"/>
          <w:sz w:val="18"/>
          <w:szCs w:val="18"/>
          <w:color w:val="auto"/>
        </w:rPr>
        <w:t>, which are commitments to settlement in cash at a future date or dates, usually on an overnight basis.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the Company is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spacing w:after="0" w:line="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exchange derivative customer contracts held by the Company was $110.6 billion and $93.0 billion as of June 30, 2025 and December 31, 2024. The majority of customer foreign exchange contracts are written in currencies such as the U.S. dollar, Canadian dollar, British pound, euro and Australian dollar.</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derivatives reported in the Consolidated Balance Sheets as of June 30, 2025 and December 31, 2024 (in millions):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0"/>
        </w:trPr>
        <w:tc>
          <w:tcPr>
            <w:tcW w:w="6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r>
      <w:tr>
        <w:trPr>
          <w:trHeight w:val="211"/>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1,894.1</w:t>
            </w:r>
          </w:p>
        </w:tc>
        <w:tc>
          <w:tcPr>
            <w:tcW w:w="60" w:type="dxa"/>
            <w:vAlign w:val="bottom"/>
          </w:tcPr>
          <w:p>
            <w:pPr>
              <w:spacing w:after="0"/>
              <w:rPr>
                <w:sz w:val="20"/>
                <w:szCs w:val="20"/>
                <w:color w:val="auto"/>
              </w:rPr>
            </w:pPr>
          </w:p>
        </w:tc>
        <w:tc>
          <w:tcPr>
            <w:tcW w:w="920" w:type="dxa"/>
            <w:vAlign w:val="bottom"/>
            <w:gridSpan w:val="3"/>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968.7</w:t>
            </w:r>
          </w:p>
        </w:tc>
        <w:tc>
          <w:tcPr>
            <w:tcW w:w="40" w:type="dxa"/>
            <w:vAlign w:val="bottom"/>
          </w:tcPr>
          <w:p>
            <w:pPr>
              <w:spacing w:after="0"/>
              <w:rPr>
                <w:sz w:val="20"/>
                <w:szCs w:val="20"/>
                <w:color w:val="auto"/>
              </w:rPr>
            </w:pPr>
          </w:p>
        </w:tc>
        <w:tc>
          <w:tcPr>
            <w:tcW w:w="960" w:type="dxa"/>
            <w:vAlign w:val="bottom"/>
            <w:gridSpan w:val="3"/>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60" w:type="dxa"/>
            <w:vAlign w:val="bottom"/>
          </w:tcPr>
          <w:p>
            <w:pPr>
              <w:spacing w:after="0"/>
              <w:rPr>
                <w:sz w:val="20"/>
                <w:szCs w:val="20"/>
                <w:color w:val="auto"/>
              </w:rPr>
            </w:pPr>
          </w:p>
        </w:tc>
      </w:tr>
      <w:tr>
        <w:trPr>
          <w:trHeight w:val="438"/>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6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1,406.7</w:t>
            </w:r>
          </w:p>
        </w:tc>
        <w:tc>
          <w:tcPr>
            <w:tcW w:w="60" w:type="dxa"/>
            <w:vAlign w:val="bottom"/>
          </w:tcPr>
          <w:p>
            <w:pPr>
              <w:spacing w:after="0"/>
              <w:rPr>
                <w:sz w:val="20"/>
                <w:szCs w:val="20"/>
                <w:color w:val="auto"/>
              </w:rPr>
            </w:pPr>
          </w:p>
        </w:tc>
        <w:tc>
          <w:tcPr>
            <w:tcW w:w="920" w:type="dxa"/>
            <w:vAlign w:val="bottom"/>
            <w:gridSpan w:val="3"/>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1,297.3</w:t>
            </w:r>
          </w:p>
        </w:tc>
        <w:tc>
          <w:tcPr>
            <w:tcW w:w="40" w:type="dxa"/>
            <w:vAlign w:val="bottom"/>
          </w:tcPr>
          <w:p>
            <w:pPr>
              <w:spacing w:after="0"/>
              <w:rPr>
                <w:sz w:val="20"/>
                <w:szCs w:val="20"/>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833.7</w:t>
            </w:r>
          </w:p>
        </w:tc>
        <w:tc>
          <w:tcPr>
            <w:tcW w:w="40" w:type="dxa"/>
            <w:vAlign w:val="bottom"/>
          </w:tcPr>
          <w:p>
            <w:pPr>
              <w:spacing w:after="0"/>
              <w:rPr>
                <w:sz w:val="20"/>
                <w:szCs w:val="20"/>
                <w:color w:val="auto"/>
              </w:rPr>
            </w:pPr>
          </w:p>
        </w:tc>
        <w:tc>
          <w:tcPr>
            <w:tcW w:w="960" w:type="dxa"/>
            <w:vAlign w:val="bottom"/>
            <w:gridSpan w:val="3"/>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60" w:type="dxa"/>
            <w:vAlign w:val="bottom"/>
          </w:tcPr>
          <w:p>
            <w:pPr>
              <w:spacing w:after="0"/>
              <w:rPr>
                <w:sz w:val="20"/>
                <w:szCs w:val="20"/>
                <w:color w:val="auto"/>
              </w:rPr>
            </w:pPr>
          </w:p>
        </w:tc>
      </w:tr>
    </w:tbl>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At June 30, 2025 and December 31, 2024, the Company had received collateral of $65.4 million and $35.0 million, respectively. The customer has the right to recall their collateral in the event exposures move in their favor or below the collateral posting thresholds,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At June 30, 2025 and December 31, 2024, the Company had posted collateral of</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$622.8 million and $718.1 million, respectively, which was not offset against the fair value of its derivatives.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June 30, 2025 and December 31, 2024 (in millions):</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4"/>
        </w:trPr>
        <w:tc>
          <w:tcPr>
            <w:tcW w:w="2300" w:type="dxa"/>
            <w:vAlign w:val="bottom"/>
          </w:tcPr>
          <w:p>
            <w:pPr>
              <w:spacing w:after="0"/>
              <w:rPr>
                <w:sz w:val="18"/>
                <w:szCs w:val="18"/>
                <w:color w:val="auto"/>
              </w:rPr>
            </w:pPr>
          </w:p>
        </w:tc>
        <w:tc>
          <w:tcPr>
            <w:tcW w:w="392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80" w:type="dxa"/>
            <w:vAlign w:val="bottom"/>
          </w:tcPr>
          <w:p>
            <w:pPr>
              <w:spacing w:after="0"/>
              <w:rPr>
                <w:sz w:val="18"/>
                <w:szCs w:val="18"/>
                <w:color w:val="auto"/>
              </w:rPr>
            </w:pPr>
          </w:p>
        </w:tc>
        <w:tc>
          <w:tcPr>
            <w:tcW w:w="3460" w:type="dxa"/>
            <w:vAlign w:val="bottom"/>
            <w:gridSpan w:val="3"/>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230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30"/>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r>
      <w:tr>
        <w:trPr>
          <w:trHeight w:val="230"/>
        </w:trPr>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2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r>
      <w:tr>
        <w:trPr>
          <w:trHeight w:val="234"/>
        </w:trPr>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6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of June 30, 2025, the Company had the following outstanding interest rate swap derivatives that qualify as hedging instruments within designated cash flow hedges of variable interest rate risk (in millions):</w:t>
      </w:r>
    </w:p>
    <w:p>
      <w:pPr>
        <w:spacing w:after="0" w:line="159"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1/31/2026</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the Company's unspecified variable rate debt, the sole source of which is due to changes in the Secured Overnight Financing Rate ("SOFR") benchmark interest rate. The Company has designated these derivative instruments as cash flow hedging instruments, which are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right="140"/>
        <w:spacing w:after="0" w:line="256" w:lineRule="auto"/>
        <w:rPr>
          <w:sz w:val="20"/>
          <w:szCs w:val="20"/>
          <w:color w:val="auto"/>
        </w:rPr>
      </w:pPr>
      <w:r>
        <w:rPr>
          <w:rFonts w:ascii="Times New Roman" w:cs="Times New Roman" w:eastAsia="Times New Roman" w:hAnsi="Times New Roman"/>
          <w:sz w:val="18"/>
          <w:szCs w:val="18"/>
          <w:color w:val="auto"/>
        </w:rPr>
        <w:t>expected to be 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$7.8 million and $25.2 million from accumulated other comprehensive loss resulting in a benefit to interest expense, net for the six months ended June 30, 2025 and 2024, respectively, related to these interest rate swap contracts. Cash flows related to the Company's interest rate swap derivatives are classified as operating activities within the Unaudited Consolidated Statements of Cash Flows, as such cash flows relate to hedged interest payments which are also recorded in operating activities.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w:t>
      </w:r>
    </w:p>
    <w:p>
      <w:pPr>
        <w:spacing w:after="0" w:line="7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interest rate swap contracts, as well as their classification on the accompanying Consolidated Balance Sheets, as of June 30, 2025 and December 31, 2024 (in millions). See Note 3 for additional information on the fair value of the Company’s swap contracts.</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4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20" w:type="dxa"/>
            <w:vAlign w:val="bottom"/>
          </w:tcPr>
          <w:p>
            <w:pPr>
              <w:spacing w:after="0"/>
              <w:rPr>
                <w:sz w:val="18"/>
                <w:szCs w:val="18"/>
                <w:color w:val="auto"/>
              </w:rPr>
            </w:pPr>
          </w:p>
        </w:tc>
      </w:tr>
      <w:tr>
        <w:trPr>
          <w:trHeight w:val="157"/>
        </w:trPr>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Derivatives designated as cash</w:t>
            </w:r>
          </w:p>
        </w:tc>
        <w:tc>
          <w:tcPr>
            <w:tcW w:w="3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3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4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4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38"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As of June 30, 2025, the estimated amount of net losses recognized in accumulated other comprehensive loss that are expected to be reclassified into earnings as an increase to interest expense, net within the next 12 months is approximately $6.0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1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 enters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w:t>
      </w:r>
    </w:p>
    <w:p>
      <w:pPr>
        <w:spacing w:after="0" w:line="6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June 30, 2025, the Company had the following cross-currency interest rate swaps designated as net investment hedges of our investments in foreign-denominated operations:</w:t>
      </w:r>
    </w:p>
    <w:p>
      <w:pPr>
        <w:spacing w:after="0" w:line="91"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5/26/2026</w:t>
            </w:r>
          </w:p>
        </w:tc>
        <w:tc>
          <w:tcPr>
            <w:tcW w:w="0" w:type="dxa"/>
            <w:vAlign w:val="bottom"/>
          </w:tcPr>
          <w:p>
            <w:pPr>
              <w:spacing w:after="0"/>
              <w:rPr>
                <w:sz w:val="1"/>
                <w:szCs w:val="1"/>
                <w:color w:val="auto"/>
              </w:rPr>
            </w:pPr>
          </w:p>
        </w:tc>
      </w:tr>
      <w:tr>
        <w:trPr>
          <w:trHeight w:val="229"/>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1/24/2028</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Hedge effectiveness is tested based on changes in the fair value of the cross-currency swaps due to changes in the USD/foreign currency spot rates. The Company anticipates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The Company recognized a benefit of $11.9 million and $5.1 million in interest expense, net for the six months ended June 30, 2025 and 2024, respectively, related to these excluded components. Upon settlement, cash flows attributable to derivatives designated as net investment hedges are classified as investing activities in the Unaudited Consolidated Statements of Cash Flows.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cross-currency interest rate swaps designated as net investment hedges, as well as their classification on the accompanying Consolidated Balance Sheets, as of June 30, 2025 and December 31, 2024 (in millions).</w:t>
      </w:r>
    </w:p>
    <w:p>
      <w:pPr>
        <w:spacing w:after="0" w:line="97"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300" w:type="dxa"/>
            <w:vAlign w:val="bottom"/>
          </w:tcPr>
          <w:p>
            <w:pPr>
              <w:spacing w:after="0"/>
              <w:rPr>
                <w:sz w:val="18"/>
                <w:szCs w:val="18"/>
                <w:color w:val="auto"/>
              </w:rPr>
            </w:pPr>
          </w:p>
        </w:tc>
        <w:tc>
          <w:tcPr>
            <w:tcW w:w="3400" w:type="dxa"/>
            <w:vAlign w:val="bottom"/>
            <w:gridSpan w:val="3"/>
          </w:tcPr>
          <w:p>
            <w:pPr>
              <w:jc w:val="right"/>
              <w:ind w:right="13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7"/>
        </w:trPr>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Cross-currency interest rate</w:t>
            </w:r>
          </w:p>
        </w:tc>
        <w:tc>
          <w:tcPr>
            <w:tcW w:w="3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r>
      <w:tr>
        <w:trPr>
          <w:trHeight w:val="180"/>
        </w:trPr>
        <w:tc>
          <w:tcPr>
            <w:tcW w:w="26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swaps designated as net</w:t>
            </w:r>
          </w:p>
        </w:tc>
        <w:tc>
          <w:tcPr>
            <w:tcW w:w="3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3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hedges:</w:t>
            </w:r>
          </w:p>
        </w:tc>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January 2025, the Company terminated its existing CAD cross-currency interest rate swaps designated as net investment hedges and subsequently entered into four new cross-currency interest rate swaps designated as net investment hedges of its investments in CAD-denominated operations. These contracts effectively convert an aggregate $800 million of U.S. dollar equivalent to an obligation denominated in CAD and partially offset the impact of changes in currency rates on our CAD-denominated net investments. These contracts also create a positive interest differential on the U.S. dollar-denominated portion of the swap, resulting in a weighted average interest rate savings of 1.35% on the USD notional.</w:t>
      </w:r>
    </w:p>
    <w:p>
      <w:pPr>
        <w:spacing w:after="0" w:line="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June 30, 2025, the estimated net amount of the existing benefit related to the Company's cross-currency interest rate swaps designated as net investment hedges that is expected to be reclassified into earnings as a reduction to interest expense, net within the next 12 months is approximately $23.2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 (AOCL)</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changes in the components of AOCL, net of tax and noncontrolling interest, for the six months ended June 30, 2025 and 2024 are as follows (in thousands):</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00" w:type="dxa"/>
            <w:vAlign w:val="bottom"/>
          </w:tcPr>
          <w:p>
            <w:pPr>
              <w:spacing w:after="0"/>
              <w:rPr>
                <w:sz w:val="11"/>
                <w:szCs w:val="11"/>
                <w:color w:val="auto"/>
              </w:rPr>
            </w:pPr>
          </w:p>
        </w:tc>
        <w:tc>
          <w:tcPr>
            <w:tcW w:w="16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1"/>
                <w:szCs w:val="11"/>
                <w:color w:val="auto"/>
              </w:rPr>
            </w:pPr>
          </w:p>
        </w:tc>
        <w:tc>
          <w:tcPr>
            <w:tcW w:w="1760" w:type="dxa"/>
            <w:vAlign w:val="bottom"/>
          </w:tcPr>
          <w:p>
            <w:pPr>
              <w:jc w:val="center"/>
              <w:ind w:right="76"/>
              <w:spacing w:after="0" w:line="132"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7"/>
                <w:szCs w:val="17"/>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(1,749,040)</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(1,713,996)</w:t>
            </w:r>
          </w:p>
        </w:tc>
        <w:tc>
          <w:tcPr>
            <w:tcW w:w="0" w:type="dxa"/>
            <w:vAlign w:val="bottom"/>
          </w:tcPr>
          <w:p>
            <w:pPr>
              <w:spacing w:after="0"/>
              <w:rPr>
                <w:sz w:val="1"/>
                <w:szCs w:val="1"/>
                <w:color w:val="auto"/>
              </w:rPr>
            </w:pPr>
          </w:p>
        </w:tc>
      </w:tr>
      <w:tr>
        <w:trPr>
          <w:trHeight w:val="175"/>
        </w:trPr>
        <w:tc>
          <w:tcPr>
            <w:tcW w:w="4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421,994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233,326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52,068</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421,994</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277,610</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(1,327,046)</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(109,340)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(1,436,386)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4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00" w:type="dxa"/>
            <w:vAlign w:val="bottom"/>
          </w:tcPr>
          <w:p>
            <w:pPr>
              <w:spacing w:after="0"/>
              <w:rPr>
                <w:sz w:val="11"/>
                <w:szCs w:val="11"/>
                <w:color w:val="auto"/>
              </w:rPr>
            </w:pPr>
          </w:p>
        </w:tc>
        <w:tc>
          <w:tcPr>
            <w:tcW w:w="16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1"/>
                <w:szCs w:val="11"/>
                <w:color w:val="auto"/>
              </w:rPr>
            </w:pPr>
          </w:p>
        </w:tc>
        <w:tc>
          <w:tcPr>
            <w:tcW w:w="1760" w:type="dxa"/>
            <w:vAlign w:val="bottom"/>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(1,258,282)</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(1,289,099)</w:t>
            </w:r>
          </w:p>
        </w:tc>
        <w:tc>
          <w:tcPr>
            <w:tcW w:w="0" w:type="dxa"/>
            <w:vAlign w:val="bottom"/>
          </w:tcPr>
          <w:p>
            <w:pPr>
              <w:spacing w:after="0"/>
              <w:rPr>
                <w:sz w:val="1"/>
                <w:szCs w:val="1"/>
                <w:color w:val="auto"/>
              </w:rPr>
            </w:pPr>
          </w:p>
        </w:tc>
      </w:tr>
      <w:tr>
        <w:trPr>
          <w:trHeight w:val="184"/>
        </w:trPr>
        <w:tc>
          <w:tcPr>
            <w:tcW w:w="4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(209,886)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(1,512,987)</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(1,498,985)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Income tax effects are released from accumulated other comprehensive loss to retained earnings, when applicable, on an individual item basis as those items are reclassified into income. Other comprehensive loss attributable to the Company's noncontrolling interest, which are not included in the tables above, for the six months ended June 30, 2025 and 2024 consisted of foreign currency translation gains of $3.5 million and foreign currency translation losses of $3.2 million, respectively.</w:t>
      </w:r>
    </w:p>
    <w:p>
      <w:pPr>
        <w:spacing w:after="0" w:line="2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25" w:name="page26"/>
    <w:bookmarkEnd w:id="25"/>
    <w:p>
      <w:pPr>
        <w:ind w:right="9500" w:firstLine="8"/>
        <w:spacing w:after="0" w:line="432"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Acquisition</w:t>
      </w:r>
    </w:p>
    <w:p>
      <w:pPr>
        <w:spacing w:after="0" w:line="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In July 2025, the Company announced pursuant to Rule 2.7 of the United Kingdom City Code on Takeovers and Mergers a firm intention to make a cash offer to acquire 100% of Alpha Group International plc (LSE: ALPHA) ("Alpha"). The acquisition is to be effected by means of a court-sanctioned scheme of arrangement (the "Scheme") under Part 26 of the UK Companies Act 2006. The acquisition values Alpha at an enterprise valuation of approximately $2.2 billion. Alpha is a leading provider of B2B cross border foreign exchange solutions to corporations and investment funds in the United Kingdom and Europe. Alpha pioneered alternative bank accounts as a simpler, faster way for investment managers to fund their investments and pay expenses anywhere in Europe.</w:t>
      </w:r>
    </w:p>
    <w:p>
      <w:pPr>
        <w:spacing w:after="0" w:line="130"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2025, subject to shareholder and regulatory approval, court approval of the Scheme and standard closing conditions and will be reflected in the Company's Corporate Payments segment. The Company expects to fund the acquisition through a combination of cash, debt, bank capital optimization and non-core divestitures.</w:t>
      </w:r>
    </w:p>
    <w:p>
      <w:pPr>
        <w:spacing w:after="0" w:line="13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July 23, 2025, Corpay entered into a bridge term loan credit agreement with BOFA Securities, Inc., Barclays Bank PLC and JPMorgan Chase Bank, N.A., pursuant to which, among other things, those lenders have committed to provide debt financing, consisting of a £1.875 billion bridge facility (the “Bridge Facility”), to fund the cash consideration payable pursuant to the acquisition and to fund costs and expenses in connection with the acquisition. The obligation of the lenders to provide the financing contemplated by the Bridge Facility is subject to a number of customary conditions.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6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July 2025, the Company entered into two additional receive-variable SOFR, pay-fixed interest rate swap derivative contracts with a total combined notional U.S. dollar value of $500 million to replace its previous interest rate swap derivative contracts with an equivalent notional value that matured on July 31, 2025. The maturity dates of the new interest rate swap contracts are January 31, 2029 and July 31, 2029.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Divestiture</w:t>
      </w:r>
    </w:p>
    <w:p>
      <w:pPr>
        <w:spacing w:after="0" w:line="162" w:lineRule="exact"/>
        <w:rPr>
          <w:sz w:val="20"/>
          <w:szCs w:val="20"/>
          <w:color w:val="auto"/>
        </w:rPr>
      </w:pPr>
    </w:p>
    <w:p>
      <w:pPr>
        <w:jc w:val="both"/>
        <w:ind w:right="140"/>
        <w:spacing w:after="0" w:line="242" w:lineRule="auto"/>
        <w:rPr>
          <w:sz w:val="20"/>
          <w:szCs w:val="20"/>
          <w:color w:val="auto"/>
        </w:rPr>
      </w:pPr>
      <w:r>
        <w:rPr>
          <w:rFonts w:ascii="Times New Roman" w:cs="Times New Roman" w:eastAsia="Times New Roman" w:hAnsi="Times New Roman"/>
          <w:sz w:val="18"/>
          <w:szCs w:val="18"/>
          <w:color w:val="auto"/>
        </w:rPr>
        <w:t>In July 2025, the Company announced the divestiture of one of its legacy lower growth private label fuel card portfolios. The Company expects to receive approximately $60 million in proceeds for the divestiture, which is expected to close in the fourth quarter of 2025. Revenues generated from the portfolio are included in the Company's Vehicle Payments segment.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2024. All foreign currency amounts that have been converted into U.S. dollars in this discussion are based on the exchange rate as reported by Oanda for the applicable periods.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generally discusses the three and six months ended June 30, 2025 and 2024, with period-over-period comparisons between these periods. A detailed discussion of 2024 items and period-over-period comparisons between the three and six months ended June 30, 2024 and 2023 that are not included in this Quarterly Report on Form 10-Q can be found in "Management's Discussion and Analysis of Financial Condition and Results of Operations" in Part I, Item 2 of our Quarterly Report on Form 10-Q for the quarter ended June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color w:val="auto"/>
        </w:rPr>
        <w:t>Corpay is a global corporate payments company that helps businesses and consumers better manage and pay their expenses. Corpay's suite of modern payment solutions help customers better manage vehicle-related expenses (e.g., fueling, tolls, car registration and parking), lodging expenses (e.g., hotel and extended stay bookings) and corporate payments (e.g., domestic and international accounts payable and point of sale purchases). This results in our customers saving time and ultimately spending less.</w:t>
      </w:r>
    </w:p>
    <w:p>
      <w:pPr>
        <w:spacing w:after="0" w:line="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Businesses spend an estimated $145 trillion each year in transactions with other businesses. In many instances, businesses lack the proper tools to monitor what is being purchased and employ manual, paper-based, disparate processes and methods to both approve and make payments for their business-to-business ("B2B") purchases. This often results in wasted time and money due to unnecessary or unauthorized spending, fraud, receipt collection, data input and consolidation, report generation, reimbursement processing, account reconciliations, employee disciplinary actions and more.</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Corpay’s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insights, which managers can use to better run their businesses. Our wide range of modern, digitized solutions generally provides control, reporting and automation benefits superior to many of the payment methods businesses often use such as cash, paper checks, general purpose credit cards, as well as employee pay and reclaim processes.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Economic Environment on Our 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of the countries where we operate, and other countries where we will seek to operate, have undergone significant political, economic and social change and events in recent periods. Adverse global macroeconomic conditions, including but not limited to recessions or economic downturns, inflation, changing interest rates, currency fluctuations, economic sanctions (including tariffs), regional or domestic hostilities and the prospect or occurrence of more widespread conflicts, a slowdown of global trade, or reduced consumer spending, could have a material adverse impact on our business, results of operations and financial condition.</w:t>
      </w:r>
    </w:p>
    <w:p>
      <w:pPr>
        <w:spacing w:after="0" w:line="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are actively monitoring the changes and events and assessing the impact on our business. The extent, severity, duration and outcome of market disruptions could be significant and could potentially have substantial impact on the global economy and our business for an unknown period of time. Measures such as sanctions and tariffs may adversely affect the global economy and financial markets and could adversely affect our business, financial condition and results of operations. We cannot predict the scope of macroeconomic factors because these measures are complex and evolving. Any such disruptions may also magnify the impact of other risks described in our Annual Report on Form 10-K.</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171"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Net Income Attributable to Corpay and Net Income Per Diluted Share Attributable to Corpay. </w:t>
      </w:r>
      <w:r>
        <w:rPr>
          <w:rFonts w:ascii="Times New Roman" w:cs="Times New Roman" w:eastAsia="Times New Roman" w:hAnsi="Times New Roman"/>
          <w:sz w:val="18"/>
          <w:szCs w:val="18"/>
          <w:color w:val="auto"/>
        </w:rPr>
        <w:t>Set forth below are revenues, net,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attributable to Corpay and net income per diluted share attributable to Corpay for the three and six months ended June 30, 2025 and 2024, (in millions, except per share amounts).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Adjusted Net Income Per Diluted Share Attributable to Corpay, EBITDA, Adjusted EBITDA and Adjusted EBITDA margin. </w:t>
      </w:r>
      <w:r>
        <w:rPr>
          <w:rFonts w:ascii="Times New Roman" w:cs="Times New Roman" w:eastAsia="Times New Roman" w:hAnsi="Times New Roman"/>
          <w:sz w:val="18"/>
          <w:szCs w:val="18"/>
          <w:color w:val="auto"/>
        </w:rPr>
        <w:t>Set forth below are adjusted net income, adjusted net income per diluted share, EBITDA, adjusted EBITDA, and adjusted EBITDA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for the three and six months ended June 30, 2025 and 2024 (in millions, except per share amounts).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626.3</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Adjusted net income per diluted share attributable to</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Corpay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1,176.0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1,070.9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Adjusted net income attributable to Corpay, adjusted net income per diluted share attributable to Corpay, EBITDA, adjusted EBITDA and adjusted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adjusted EBITDA and adjusted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200 countries around the world today, although we operate primarily in three geographies, with 80% of our revenues generated in the U.S., Brazil and the U.K. Our customers may include commercial businesses (obtained through direct and indirect channels) and partners for whom we manage payment programs, as well as consumers.</w:t>
      </w:r>
    </w:p>
    <w:p>
      <w:pPr>
        <w:spacing w:after="0" w:line="1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manage and report our operating results through three reportable segments: Vehicle Payments, Corporate Payments and Lodging Payments. The remaining results are included within Other, which includes our Gift and Payroll Card businesses. These segments align with how the Chief Operating Decision Maker (CODM) allocates resources, assesses performance and reviews financial information.</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In this report, we refer to this net revenue as “revenue" or "revenues, net." See “Results of Operations” for additional segment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net, by Segment. </w:t>
      </w:r>
      <w:r>
        <w:rPr>
          <w:rFonts w:ascii="Times New Roman" w:cs="Times New Roman" w:eastAsia="Times New Roman" w:hAnsi="Times New Roman"/>
          <w:sz w:val="18"/>
          <w:szCs w:val="18"/>
          <w:color w:val="auto"/>
        </w:rPr>
        <w:t>For the three and six months ended June 30, 2025 and 2024, our segments generated the following revenues, net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33"/>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Segment*</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right"/>
              <w:ind w:right="139"/>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1"/>
                <w:szCs w:val="11"/>
                <w:color w:val="auto"/>
              </w:rPr>
            </w:pPr>
          </w:p>
        </w:tc>
        <w:tc>
          <w:tcPr>
            <w:tcW w:w="1140" w:type="dxa"/>
            <w:vAlign w:val="bottom"/>
          </w:tcPr>
          <w:p>
            <w:pPr>
              <w:jc w:val="right"/>
              <w:ind w:right="159"/>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22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8"/>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Payments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Payments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8"/>
        </w:trPr>
        <w:tc>
          <w:tcPr>
            <w:tcW w:w="2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 Other includes our Gift and Payroll Card businesses.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We also generate float revenue earned on invested customer funds in jurisdictions where permitted.</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Revenues from risk management products and foreign exchange payment services are primarily comprised of the difference between the exchange rate we set for the customer and the rate available in the wholesale foreign exchange market. In our cross-border business, the majority of revenue is from exchanges of currency at spot rates, which enables customers to make cross-currency payments. Our cross-border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Our performance obligation in our foreign exchange payment services is providing a foreign currency payment to a customer's designated recipient and therefore, we recognize revenue when the underlying payment is made. We also generate float revenue earned on invested customer funds in jurisdictions where permitted.</w:t>
      </w:r>
    </w:p>
    <w:p>
      <w:pPr>
        <w:spacing w:after="0" w:line="80"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spacing w:after="0" w:line="3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remaining revenues represent other solutions in our Gift and Payroll card businesses, referred to as Other. In these businesses, we primarily earn revenue from the processing of transactions. We may also charge fees for ancillary services provided.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net, by Geography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geography for the three and six months ended June 30, 2025 and 2024, were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133"/>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0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Revenues, net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4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159"/>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23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8"/>
        </w:trPr>
        <w:tc>
          <w:tcPr>
            <w:tcW w:w="22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*Columns may not calculate due to rounding. Disclosure has been conformed in all periods to align with current presentation, which is based on the geographic location of the legal entity.</w:t>
      </w:r>
    </w:p>
    <w:p>
      <w:pPr>
        <w:spacing w:after="0" w:line="10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Revenues, net by Key Performance Metric and Organic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key performance metric and organic growth by segment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2025 and 2024, were as follows (in millions except revenues, net per key performance indicator)*:</w:t>
      </w:r>
    </w:p>
    <w:p>
      <w:pPr>
        <w:sectPr>
          <w:pgSz w:w="11900" w:h="16838" w:orient="portrait"/>
          <w:cols w:equalWidth="0" w:num="1">
            <w:col w:w="11240"/>
          </w:cols>
          <w:pgMar w:left="320" w:top="846" w:right="339" w:bottom="1440" w:gutter="0" w:footer="0" w:header="0"/>
        </w:sectPr>
      </w:pPr>
    </w:p>
    <w:p>
      <w:pPr>
        <w:spacing w:after="0" w:line="12"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6"/>
          <w:szCs w:val="16"/>
          <w:b w:val="1"/>
          <w:bCs w:val="1"/>
          <w:color w:val="auto"/>
        </w:rPr>
        <w:t>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21590</wp:posOffset>
            </wp:positionV>
            <wp:extent cx="26657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6"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Pro Forma and Macro Adjusted</w:t>
      </w:r>
      <w:r>
        <w:rPr>
          <w:rFonts w:ascii="Times New Roman" w:cs="Times New Roman" w:eastAsia="Times New Roman" w:hAnsi="Times New Roman"/>
          <w:sz w:val="21"/>
          <w:szCs w:val="21"/>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-6985</wp:posOffset>
            </wp:positionV>
            <wp:extent cx="2606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8" w:lineRule="exact"/>
        <w:rPr>
          <w:sz w:val="20"/>
          <w:szCs w:val="20"/>
          <w:color w:val="auto"/>
        </w:rPr>
      </w:pPr>
    </w:p>
    <w:p>
      <w:pPr>
        <w:sectPr>
          <w:pgSz w:w="11900" w:h="16838" w:orient="portrait"/>
          <w:cols w:equalWidth="0" w:num="2">
            <w:col w:w="7320" w:space="720"/>
            <w:col w:w="3200"/>
          </w:cols>
          <w:pgMar w:left="320" w:top="846"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20" w:type="dxa"/>
            <w:vAlign w:val="bottom"/>
          </w:tcPr>
          <w:p>
            <w:pPr>
              <w:spacing w:after="0"/>
              <w:rPr>
                <w:sz w:val="14"/>
                <w:szCs w:val="14"/>
                <w:color w:val="auto"/>
              </w:rPr>
            </w:pPr>
          </w:p>
        </w:tc>
        <w:tc>
          <w:tcPr>
            <w:tcW w:w="280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VEHICLE PAYMENTS</w:t>
            </w: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$525.5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$510.3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$548.4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$504.2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222.6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207.3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207.9</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20" w:type="dxa"/>
            <w:vAlign w:val="bottom"/>
          </w:tcPr>
          <w:p>
            <w:pPr>
              <w:spacing w:after="0"/>
              <w:rPr>
                <w:sz w:val="18"/>
                <w:szCs w:val="18"/>
                <w:color w:val="auto"/>
              </w:rPr>
            </w:pPr>
          </w:p>
        </w:tc>
        <w:tc>
          <w:tcPr>
            <w:tcW w:w="2800" w:type="dxa"/>
            <w:vAlign w:val="bottom"/>
            <w:gridSpan w:val="7"/>
          </w:tcPr>
          <w:p>
            <w:pPr>
              <w:ind w:left="120"/>
              <w:spacing w:after="0" w:line="216" w:lineRule="exact"/>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Tag transactions</w:t>
            </w:r>
            <w:r>
              <w:rPr>
                <w:rFonts w:ascii="Times New Roman" w:cs="Times New Roman" w:eastAsia="Times New Roman" w:hAnsi="Times New Roman"/>
                <w:sz w:val="21"/>
                <w:szCs w:val="21"/>
                <w:color w:val="000000"/>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21.4</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21.4</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Parking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20" w:type="dxa"/>
            <w:vAlign w:val="bottom"/>
          </w:tcPr>
          <w:p>
            <w:pPr>
              <w:spacing w:after="0"/>
              <w:rPr>
                <w:sz w:val="18"/>
                <w:szCs w:val="18"/>
                <w:color w:val="auto"/>
              </w:rPr>
            </w:pPr>
          </w:p>
        </w:tc>
        <w:tc>
          <w:tcPr>
            <w:tcW w:w="280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Fleet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112.9</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118.7</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113.5</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Other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w:t>
            </w:r>
          </w:p>
        </w:tc>
      </w:tr>
      <w:tr>
        <w:trPr>
          <w:trHeight w:val="176"/>
        </w:trPr>
        <w:tc>
          <w:tcPr>
            <w:tcW w:w="20" w:type="dxa"/>
            <w:vAlign w:val="bottom"/>
          </w:tcPr>
          <w:p>
            <w:pPr>
              <w:spacing w:after="0"/>
              <w:rPr>
                <w:sz w:val="15"/>
                <w:szCs w:val="15"/>
                <w:color w:val="auto"/>
              </w:rPr>
            </w:pPr>
          </w:p>
        </w:tc>
        <w:tc>
          <w:tcPr>
            <w:tcW w:w="28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CORPORATE PAYMENTS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$391.9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$288.5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$389.1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Spend volume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$58,114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$42,878</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$15,236</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$58,114</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$48,701</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$9,413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 net per spend $</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175"/>
        </w:trPr>
        <w:tc>
          <w:tcPr>
            <w:tcW w:w="20" w:type="dxa"/>
            <w:vAlign w:val="bottom"/>
          </w:tcPr>
          <w:p>
            <w:pPr>
              <w:spacing w:after="0"/>
              <w:rPr>
                <w:sz w:val="15"/>
                <w:szCs w:val="15"/>
                <w:color w:val="auto"/>
              </w:rPr>
            </w:pPr>
          </w:p>
        </w:tc>
        <w:tc>
          <w:tcPr>
            <w:tcW w:w="28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LODGING PAYMENTS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Room nights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room night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$13.84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$13.97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$13.97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175"/>
        </w:trPr>
        <w:tc>
          <w:tcPr>
            <w:tcW w:w="20" w:type="dxa"/>
            <w:vAlign w:val="bottom"/>
          </w:tcPr>
          <w:p>
            <w:pPr>
              <w:spacing w:after="0"/>
              <w:rPr>
                <w:sz w:val="15"/>
                <w:szCs w:val="15"/>
                <w:color w:val="auto"/>
              </w:rPr>
            </w:pPr>
          </w:p>
        </w:tc>
        <w:tc>
          <w:tcPr>
            <w:tcW w:w="2800" w:type="dxa"/>
            <w:vAlign w:val="bottom"/>
            <w:gridSpan w:val="7"/>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20"/>
                <w:szCs w:val="20"/>
                <w:b w:val="1"/>
                <w:bCs w:val="1"/>
                <w:u w:val="single" w:color="auto"/>
                <w:color w:val="auto"/>
                <w:vertAlign w:val="superscript"/>
              </w:rPr>
              <w:t>1</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412.6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356.7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356.7</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$0.15</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175"/>
        </w:trPr>
        <w:tc>
          <w:tcPr>
            <w:tcW w:w="20" w:type="dxa"/>
            <w:vAlign w:val="bottom"/>
          </w:tcPr>
          <w:p>
            <w:pPr>
              <w:spacing w:after="0"/>
              <w:rPr>
                <w:sz w:val="15"/>
                <w:szCs w:val="15"/>
                <w:color w:val="auto"/>
              </w:rPr>
            </w:pPr>
          </w:p>
        </w:tc>
        <w:tc>
          <w:tcPr>
            <w:tcW w:w="28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REVENUES, NET</w:t>
            </w: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$975.8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$126.2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$1,121.4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w:t>
            </w:r>
          </w:p>
        </w:tc>
      </w:tr>
    </w:tbl>
    <w:p>
      <w:pPr>
        <w:spacing w:after="0" w:line="77" w:lineRule="exact"/>
        <w:rPr>
          <w:sz w:val="20"/>
          <w:szCs w:val="20"/>
          <w:color w:val="auto"/>
        </w:rPr>
      </w:pPr>
    </w:p>
    <w:p>
      <w:pPr>
        <w:ind w:left="160" w:hanging="100"/>
        <w:spacing w:after="0"/>
        <w:tabs>
          <w:tab w:leader="none" w:pos="16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20" w:lineRule="exact"/>
        <w:rPr>
          <w:sz w:val="20"/>
          <w:szCs w:val="20"/>
          <w:color w:val="auto"/>
        </w:rPr>
      </w:pPr>
    </w:p>
    <w:p>
      <w:pPr>
        <w:ind w:left="60" w:right="280"/>
        <w:spacing w:after="0" w:line="201" w:lineRule="auto"/>
        <w:tabs>
          <w:tab w:leader="none" w:pos="15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p>
      <w:pPr>
        <w:spacing w:after="0" w:line="7" w:lineRule="exact"/>
        <w:rPr>
          <w:sz w:val="20"/>
          <w:szCs w:val="20"/>
          <w:color w:val="auto"/>
        </w:rPr>
      </w:pPr>
    </w:p>
    <w:p>
      <w:pPr>
        <w:ind w:left="60" w:right="3440"/>
        <w:spacing w:after="0" w:line="241" w:lineRule="auto"/>
        <w:tabs>
          <w:tab w:leader="none" w:pos="15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tag subscription transactions in the period. Average monthly tag subscriptions for 2025 is 7.6 million. * Columns may not calculate due to rounding.</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per relevant key performance indicator (KPI), which may include transactions, spend volume, room nights, or other metrics, is derived from the various revenue types as discussed above and can vary based on geography, the relevant merchant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and consistent acquisition/divestiture/non-recurring item basis is useful to investors for understanding the performance of Corpay.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routinely incur expenses in the following categories:</w:t>
      </w:r>
    </w:p>
    <w:p>
      <w:pPr>
        <w:spacing w:after="0" w:line="115" w:lineRule="exact"/>
        <w:rPr>
          <w:sz w:val="20"/>
          <w:szCs w:val="20"/>
          <w:color w:val="auto"/>
        </w:rPr>
      </w:pPr>
    </w:p>
    <w:p>
      <w:pPr>
        <w:ind w:left="660" w:right="8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Processing</w:t>
      </w:r>
      <w:r>
        <w:rPr>
          <w:rFonts w:ascii="Times New Roman" w:cs="Times New Roman" w:eastAsia="Times New Roman" w:hAnsi="Times New Roman"/>
          <w:sz w:val="18"/>
          <w:szCs w:val="18"/>
          <w:color w:val="auto"/>
        </w:rPr>
        <w:t>—Our processing expense consists of expenses related to processing transactions, servicing our customers and merchants,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cost of goods sold related to our hardware and card sales in certain businesses.</w:t>
      </w:r>
    </w:p>
    <w:p>
      <w:pPr>
        <w:spacing w:after="0" w:line="50"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—Our selling expenses consist primarily of wages, benefits, sales commissions (other than merchant commissions) and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sales, marketing and account management personnel and activities.</w:t>
      </w:r>
    </w:p>
    <w:p>
      <w:pPr>
        <w:spacing w:after="0" w:line="5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—Our general and administrative expenses include compensation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—Our depreciation expenses include depreciation of property and equipment, consisting of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7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operating, net</w:t>
      </w:r>
      <w:r>
        <w:rPr>
          <w:rFonts w:ascii="Times New Roman" w:cs="Times New Roman" w:eastAsia="Times New Roman" w:hAnsi="Times New Roman"/>
          <w:sz w:val="18"/>
          <w:szCs w:val="18"/>
          <w:color w:val="auto"/>
        </w:rPr>
        <w:t>—Our other operating, net includes other operating expenses and income items that do not relate to our core operations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infrequently.</w:t>
      </w:r>
    </w:p>
    <w:p>
      <w:pPr>
        <w:spacing w:after="0" w:line="50" w:lineRule="exact"/>
        <w:rPr>
          <w:rFonts w:ascii="Times New Roman" w:cs="Times New Roman" w:eastAsia="Times New Roman" w:hAnsi="Times New Roman"/>
          <w:sz w:val="18"/>
          <w:szCs w:val="18"/>
          <w:i w:val="1"/>
          <w:iCs w:val="1"/>
          <w:color w:val="auto"/>
        </w:rPr>
      </w:pPr>
    </w:p>
    <w:p>
      <w:pPr>
        <w:ind w:left="660" w:right="14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—Our other (income) expense, net includes gains or losses from the following: sales of assets or businesses,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extinguishment of debt and investments. This category also includes other miscellaneous non-operating costs and revenue. Certain of these items may be presented separately on the Consolidated Statements of Income.</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—Our interest expense, net includes interest expense on our outstanding debt, interest income on cash balances and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rate and cross-currency swaps.</w:t>
      </w:r>
    </w:p>
    <w:p>
      <w:pPr>
        <w:spacing w:after="0" w:line="50"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—Our provision for income taxes consists of corporate income taxes related primarily to profits resulting from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and services on a global basis.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and trends are important in understanding our financial performance:</w:t>
      </w:r>
    </w:p>
    <w:p>
      <w:pPr>
        <w:spacing w:after="0" w:line="115" w:lineRule="exact"/>
        <w:rPr>
          <w:sz w:val="20"/>
          <w:szCs w:val="20"/>
          <w:color w:val="auto"/>
        </w:rPr>
      </w:pPr>
    </w:p>
    <w:p>
      <w:pPr>
        <w:jc w:val="both"/>
        <w:ind w:left="660" w:right="12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economic conditions</w:t>
      </w:r>
      <w:r>
        <w:rPr>
          <w:rFonts w:ascii="Times New Roman" w:cs="Times New Roman" w:eastAsia="Times New Roman" w:hAnsi="Times New Roman"/>
          <w:sz w:val="18"/>
          <w:szCs w:val="18"/>
          <w:color w:val="auto"/>
        </w:rPr>
        <w:t>—Our results of operations are materially affected by conditions in the economy generally, in North America, Brazil,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U.K. and in other locations internationally. Factors affected by the economy include our transaction volumes, the credit risk of our customers and changes in tax laws across the globe. These factors affected our businesses in each of our segments.</w:t>
      </w:r>
    </w:p>
    <w:p>
      <w:pPr>
        <w:spacing w:after="0" w:line="6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Foreign currency changes</w:t>
      </w:r>
      <w:r>
        <w:rPr>
          <w:rFonts w:ascii="Times New Roman" w:cs="Times New Roman" w:eastAsia="Times New Roman" w:hAnsi="Times New Roman"/>
          <w:sz w:val="18"/>
          <w:szCs w:val="18"/>
          <w:color w:val="auto"/>
        </w:rPr>
        <w:t>—Our results of operations are significantly impacted by changes in foreign currency exchange rates; namely,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of the Australian dollar, Brazilian real, British pound, Canadian dollar, Czech koruna, euro, Mexican peso, and New Zealand dollar, relative to the U.S. dollar. Approximately 50% and 52% of our revenue in the six months ended June 30, 2025 and 2024, respectively, was derived in U.S. dollars and was not affected by foreign currency exchange rates. See "Results of Operations" for information related to foreign currency impact on our total revenue, net.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328"/>
        <w:spacing w:after="0" w:line="266" w:lineRule="auto"/>
        <w:rPr>
          <w:sz w:val="20"/>
          <w:szCs w:val="20"/>
          <w:color w:val="auto"/>
        </w:rPr>
      </w:pPr>
      <w:r>
        <w:rPr>
          <w:rFonts w:ascii="Times New Roman" w:cs="Times New Roman" w:eastAsia="Times New Roman" w:hAnsi="Times New Roman"/>
          <w:sz w:val="18"/>
          <w:szCs w:val="18"/>
          <w:color w:val="auto"/>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 and liquidity risk from collateral calls.</w:t>
      </w:r>
    </w:p>
    <w:p>
      <w:pPr>
        <w:spacing w:after="0" w:line="68" w:lineRule="exact"/>
        <w:rPr>
          <w:sz w:val="20"/>
          <w:szCs w:val="20"/>
          <w:color w:val="auto"/>
        </w:rPr>
      </w:pPr>
    </w:p>
    <w:p>
      <w:pPr>
        <w:ind w:left="328" w:right="100"/>
        <w:spacing w:after="0" w:line="282" w:lineRule="auto"/>
        <w:rPr>
          <w:sz w:val="20"/>
          <w:szCs w:val="20"/>
          <w:color w:val="auto"/>
        </w:rPr>
      </w:pPr>
      <w:r>
        <w:rPr>
          <w:rFonts w:ascii="Times New Roman" w:cs="Times New Roman" w:eastAsia="Times New Roman" w:hAnsi="Times New Roman"/>
          <w:sz w:val="18"/>
          <w:szCs w:val="18"/>
          <w:color w:val="auto"/>
        </w:rPr>
        <w:t>We further manage the impact of economic changes in the value of certain foreign-denominated net assets by utilizing cross currency interest rate swaps. See "Liquidity and capital resources" below for information regarding our cross currency interest rate swaps.</w:t>
      </w:r>
    </w:p>
    <w:p>
      <w:pPr>
        <w:spacing w:after="0" w:line="52" w:lineRule="exact"/>
        <w:rPr>
          <w:sz w:val="20"/>
          <w:szCs w:val="20"/>
          <w:color w:val="auto"/>
        </w:rPr>
      </w:pPr>
    </w:p>
    <w:p>
      <w:pPr>
        <w:ind w:left="328" w:right="60" w:hanging="328"/>
        <w:spacing w:after="0" w:line="257" w:lineRule="auto"/>
        <w:tabs>
          <w:tab w:leader="none" w:pos="323"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 price volatility</w:t>
      </w:r>
      <w:r>
        <w:rPr>
          <w:rFonts w:ascii="Times New Roman" w:cs="Times New Roman" w:eastAsia="Times New Roman" w:hAnsi="Times New Roman"/>
          <w:sz w:val="18"/>
          <w:szCs w:val="18"/>
          <w:color w:val="auto"/>
        </w:rPr>
        <w:t>—Our Vehicle Payments customers use our products and services primarily in connection with the purchase of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estimate approximately 8% and 9% of revenues, net were directly impacted by changes in fuel price in both the six months ended June 30, 2025 and 2024, respectively. See "Results of Operations" for information related to the fuel price impact on our total revenues, net.</w:t>
      </w:r>
    </w:p>
    <w:p>
      <w:pPr>
        <w:spacing w:after="0" w:line="74" w:lineRule="exact"/>
        <w:rPr>
          <w:rFonts w:ascii="Times New Roman" w:cs="Times New Roman" w:eastAsia="Times New Roman" w:hAnsi="Times New Roman"/>
          <w:sz w:val="18"/>
          <w:szCs w:val="18"/>
          <w:b w:val="1"/>
          <w:bCs w:val="1"/>
          <w:i w:val="1"/>
          <w:iCs w:val="1"/>
          <w:color w:val="auto"/>
        </w:rPr>
      </w:pPr>
    </w:p>
    <w:p>
      <w:pPr>
        <w:ind w:left="328" w:hanging="328"/>
        <w:spacing w:after="0" w:line="254" w:lineRule="auto"/>
        <w:tabs>
          <w:tab w:leader="none" w:pos="323"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Fuel-price spread volatility</w:t>
      </w:r>
      <w:r>
        <w:rPr>
          <w:rFonts w:ascii="Times New Roman" w:cs="Times New Roman" w:eastAsia="Times New Roman" w:hAnsi="Times New Roman"/>
          <w:sz w:val="18"/>
          <w:szCs w:val="18"/>
          <w:color w:val="auto"/>
        </w:rPr>
        <w:t>—A portion of our revenue involves transactions where we derive revenue from fuel price spreads,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4% and 5% of revenues, net were directly impacted by fuel price spreads in the six months ended June 30, 2025 and 2024, respectively. See "Results of Operations" for information related to the fuel price spread impact on our total revenues, net.</w:t>
      </w:r>
    </w:p>
    <w:p>
      <w:pPr>
        <w:spacing w:after="0" w:line="77" w:lineRule="exact"/>
        <w:rPr>
          <w:rFonts w:ascii="Times New Roman" w:cs="Times New Roman" w:eastAsia="Times New Roman" w:hAnsi="Times New Roman"/>
          <w:sz w:val="18"/>
          <w:szCs w:val="18"/>
          <w:b w:val="1"/>
          <w:bCs w:val="1"/>
          <w:i w:val="1"/>
          <w:iCs w:val="1"/>
          <w:color w:val="auto"/>
        </w:rPr>
      </w:pPr>
    </w:p>
    <w:p>
      <w:pPr>
        <w:ind w:left="328" w:right="120" w:hanging="328"/>
        <w:spacing w:after="0" w:line="261"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—Since 2002, we have completed over 100 acquisitions of companies and commercial account portfolios. Acquisitions have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85" w:lineRule="exact"/>
        <w:rPr>
          <w:rFonts w:ascii="Times New Roman" w:cs="Times New Roman" w:eastAsia="Times New Roman" w:hAnsi="Times New Roman"/>
          <w:sz w:val="18"/>
          <w:szCs w:val="18"/>
          <w:color w:val="auto"/>
        </w:rPr>
      </w:pPr>
    </w:p>
    <w:p>
      <w:pPr>
        <w:ind w:left="328" w:right="160" w:hanging="328"/>
        <w:spacing w:after="0" w:line="252" w:lineRule="auto"/>
        <w:tabs>
          <w:tab w:leader="none" w:pos="316"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7"/>
          <w:szCs w:val="17"/>
          <w:i w:val="1"/>
          <w:iCs w:val="1"/>
          <w:color w:val="auto"/>
        </w:rPr>
        <w:t>Interest rates</w:t>
      </w:r>
      <w:r>
        <w:rPr>
          <w:rFonts w:ascii="Times New Roman" w:cs="Times New Roman" w:eastAsia="Times New Roman" w:hAnsi="Times New Roman"/>
          <w:sz w:val="17"/>
          <w:szCs w:val="17"/>
          <w:color w:val="auto"/>
        </w:rPr>
        <w:t>—From January 1, 2022 to July 27, 2023, the U.S. Federal Open Market Committee increased the target federal funds rate eleven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times for a total rate increase of 5.25% and on September 18, 2024, November 7, 2024 and December 18, 2024, lowered the target federal funds rate by 0.50%, 0.25% and 0.25%, respectively. Additional rate changes are possible in future periods. We are exposed to market risk changes in interest rates on our debt, particularly in rising interest rate environments, which is partially offset by incremental interest income earned on cash and restricted cash. As of June 30, 2025, we have a number of receive-variable SOFR, pay-fixed interest rate swap derivative contracts with a cumulative notional U.S. dollar value of $4.5 billion. The objective of these contracts is to reduce the variability of cash flows in the previously unhedged interest payments associated with variable rate debt, the sole source of which is due to changes in SOFR benchmark interest rate.</w:t>
      </w:r>
    </w:p>
    <w:p>
      <w:pPr>
        <w:spacing w:after="0" w:line="53" w:lineRule="exact"/>
        <w:rPr>
          <w:rFonts w:ascii="Times New Roman" w:cs="Times New Roman" w:eastAsia="Times New Roman" w:hAnsi="Times New Roman"/>
          <w:sz w:val="19"/>
          <w:szCs w:val="19"/>
          <w:b w:val="1"/>
          <w:bCs w:val="1"/>
          <w:i w:val="1"/>
          <w:iCs w:val="1"/>
          <w:color w:val="auto"/>
        </w:rPr>
      </w:pPr>
    </w:p>
    <w:p>
      <w:pPr>
        <w:ind w:left="328"/>
        <w:spacing w:after="0"/>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8"/>
          <w:szCs w:val="18"/>
          <w:color w:val="auto"/>
        </w:rPr>
        <w:t>See "Liquidity and capital resources" section below for additional information regarding our derivatives.</w:t>
      </w:r>
    </w:p>
    <w:p>
      <w:pPr>
        <w:spacing w:after="0" w:line="115" w:lineRule="exact"/>
        <w:rPr>
          <w:rFonts w:ascii="Times New Roman" w:cs="Times New Roman" w:eastAsia="Times New Roman" w:hAnsi="Times New Roman"/>
          <w:sz w:val="19"/>
          <w:szCs w:val="19"/>
          <w:b w:val="1"/>
          <w:bCs w:val="1"/>
          <w:i w:val="1"/>
          <w:iCs w:val="1"/>
          <w:color w:val="auto"/>
        </w:rPr>
      </w:pPr>
    </w:p>
    <w:p>
      <w:pPr>
        <w:ind w:left="328" w:right="480" w:hanging="328"/>
        <w:spacing w:after="0" w:line="267"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—Over the long term, we expect that our expenses will decrease as a percentage of revenues as our revenues increase,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spacing w:after="0" w:line="65" w:lineRule="exact"/>
        <w:rPr>
          <w:rFonts w:ascii="Times New Roman" w:cs="Times New Roman" w:eastAsia="Times New Roman" w:hAnsi="Times New Roman"/>
          <w:sz w:val="18"/>
          <w:szCs w:val="18"/>
          <w:color w:val="auto"/>
        </w:rPr>
      </w:pPr>
    </w:p>
    <w:p>
      <w:pPr>
        <w:ind w:left="328" w:right="80" w:hanging="328"/>
        <w:spacing w:after="0" w:line="267"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—We pay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 Our effective tax rate is also subject to fluctuations driven by the impact of discrete tax items.</w:t>
      </w:r>
    </w:p>
    <w:p>
      <w:pPr>
        <w:spacing w:after="0" w:line="67" w:lineRule="exact"/>
        <w:rPr>
          <w:rFonts w:ascii="Times New Roman" w:cs="Times New Roman" w:eastAsia="Times New Roman" w:hAnsi="Times New Roman"/>
          <w:sz w:val="18"/>
          <w:szCs w:val="18"/>
          <w:color w:val="auto"/>
        </w:rPr>
      </w:pPr>
    </w:p>
    <w:p>
      <w:pPr>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(“OECD”), continues to put forth various initiatives, including Pillar Two rules which introduce a global minimum tax at a rate of 15%. European Union member states agreed to implement the OECD’s Pillar Two rules with effective dates of January 1, 2024 and January 1, 2025, for different aspects of the directive and most have already enacted legislation. A number of other countries are also implementing similar legislation. As of June 30, 2025, based on the countries in which we do business that have enacted legislation effective January 1, 2024 and January 1, 2025, the impact of these rules to our financial statements</w:t>
      </w:r>
    </w:p>
    <w:p>
      <w:pPr>
        <w:spacing w:after="0" w:line="23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660" w:right="620"/>
        <w:spacing w:after="0" w:line="282" w:lineRule="auto"/>
        <w:rPr>
          <w:sz w:val="20"/>
          <w:szCs w:val="20"/>
          <w:color w:val="auto"/>
        </w:rPr>
      </w:pPr>
      <w:r>
        <w:rPr>
          <w:rFonts w:ascii="Times New Roman" w:cs="Times New Roman" w:eastAsia="Times New Roman" w:hAnsi="Times New Roman"/>
          <w:sz w:val="18"/>
          <w:szCs w:val="18"/>
          <w:color w:val="auto"/>
        </w:rPr>
        <w:t>was not material. This may change as other countries enact similar legislation and further guidance is released. We will continue to closely monitor regulatory developments to assess potential impacts.</w:t>
      </w:r>
    </w:p>
    <w:p>
      <w:pPr>
        <w:spacing w:after="0" w:line="54"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 the U.S. The Act makes certain tax provisions from the 2017 Tax Cuts and Jobs Act permanent, introduces new tax provisions with varying effective dates, and rolls back certain incentives from the 2022 Inflation Reduction Act, among other provisions. We are in the process of evaluating the impact the Act could have on our financial position, results of operations and cash flows. All impacts from the Act will be reflected in future reporting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w:t>
      </w:r>
    </w:p>
    <w:p>
      <w:pPr>
        <w:spacing w:after="0" w:line="173" w:lineRule="exact"/>
        <w:rPr>
          <w:sz w:val="20"/>
          <w:szCs w:val="20"/>
          <w:color w:val="auto"/>
        </w:rPr>
      </w:pPr>
    </w:p>
    <w:p>
      <w:pPr>
        <w:ind w:left="66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acquired 100% of Gringo, a leading Brazil-based vehicle registration and compliance payment company, for approximately $153.7 million, net of cash of approximately $10.2 million. Immediately prior to the acquisition, the Company infused capital equal to the purchase price into Zapay, one of the Company's less than wholly owned subsidiaries, in order for Zapay to complete the acquisition of Gringo. As a result of the capital infusion by the Company, the Company's controlling interest in Zapay increased to approximately 86%. This transaction, which was accounted for separately from the business acquisition, was recorded as an equity transaction. Gringo's digital app and national network help drivers in Brazil pay vehicle taxes, registration and fines. Results from Gringo are reported in our Vehicle Payments segment.</w:t>
      </w:r>
    </w:p>
    <w:p>
      <w:pPr>
        <w:spacing w:after="0" w:line="133"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expanded our long-standing strategic partnership agreement with Mastercard to deliver an enhanced suite of corporate cross-border payment solutions. The transaction also includes an investment in our Cross-Border business with Mastercard acquiring a 2.8% interest in the Cross-Border business for $300 million. For six months starting on July 1, 2027 (subject to extension if investment closing is delayed), Mastercard will have the right to sell its interest back to us. If Mastercard does not exercise that right, for four months starting on April 1, 2028 (subject to extension if investment closing is delayed), we will have a reciprocal repurchase right. In each case, the purchase price is the amount of invested capital plus 8% per annum, compounded annually. The investment into our Cross-Border business is expected to close during the second half of 2025.</w:t>
      </w:r>
    </w:p>
    <w:p>
      <w:pPr>
        <w:spacing w:after="0" w:line="134"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along with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transaction is expected to close in the fourth quarter of 2025, subject to regulatory approvals, AvidXchange shareholder approval and other standard closing conditions.</w:t>
      </w:r>
    </w:p>
    <w:p>
      <w:pPr>
        <w:spacing w:after="0" w:line="196" w:lineRule="exact"/>
        <w:rPr>
          <w:rFonts w:ascii="Times New Roman" w:cs="Times New Roman" w:eastAsia="Times New Roman" w:hAnsi="Times New Roman"/>
          <w:sz w:val="18"/>
          <w:szCs w:val="18"/>
          <w:color w:val="auto"/>
        </w:rPr>
      </w:pPr>
    </w:p>
    <w:p>
      <w:pPr>
        <w:ind w:left="660" w:right="2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invest approximately $550 million for approximately 34% of the equity in the limited partnership for an approximately $1.9 billion enterprise valuation. The partnership will utilize approximately $450 million of debt financing to consummate the transaction. TPG will hold approximately 56% of the equity, and the management team of AvidXchange will hold the remainder. In addition to other terms, the limited partnership agreement provides that, 33 months after closing of the AvidXchange acquisition, we will have the right to acquire all the remaining outstanding equity in the limited partnership for approximately 2.5 times invested capital. If, in fact, we achieve our business plan, then this could represent an attractive valuation. If we do not exercise such right to acquire all of the remaining outstanding equity and TPG decides to sell the limited partnership to a third party within a period of 15 months thereafter, we will guarantee a return to our partners, subject to certain limitations, of approximately 1.6 times invested capital. The partnership will ultimately need to sell AvidXchange in 2029 for an approximately similar valuation as today’s acquisition price to avoid the requirement to pay any minimum return payment.</w:t>
      </w:r>
    </w:p>
    <w:p>
      <w:pPr>
        <w:spacing w:after="0" w:line="144"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pursuant to Rule 2.7 of the United Kingdom City Code on Takeovers and Mergers a firm intention to make a cash offer to acquire 100% of Alpha Group International plc (LSE: ALPHA) ("Alpha"). The acquisition is to be effected by means of a court-sanctioned scheme (the "Scheme") of arrangement under Part 26 of the UK Companies Act 2006. The acquisition values Alpha at an enterprise valuation of approximately $2.2 billion. Alpha is a leading provider of B2B cross border foreign exchange solutions to corporations and investment funds in the United Kingdom and Europe. Alpha pioneered alternative bank accounts as a simpler, faster way for investment managers to fund their investments and pay expenses anywhere in Europe. The transaction is expected to close in the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right="60"/>
        <w:spacing w:after="0" w:line="282" w:lineRule="auto"/>
        <w:rPr>
          <w:sz w:val="20"/>
          <w:szCs w:val="20"/>
          <w:color w:val="auto"/>
        </w:rPr>
      </w:pPr>
      <w:r>
        <w:rPr>
          <w:rFonts w:ascii="Times New Roman" w:cs="Times New Roman" w:eastAsia="Times New Roman" w:hAnsi="Times New Roman"/>
          <w:sz w:val="18"/>
          <w:szCs w:val="18"/>
          <w:color w:val="auto"/>
        </w:rPr>
        <w:t>fourth quarter of 2025, subject to shareholder and regulatory approval, court approval of the Scheme and standard closing conditions and will be reflected in our Corporate Payments segment.</w:t>
      </w:r>
    </w:p>
    <w:p>
      <w:pPr>
        <w:spacing w:after="0" w:line="108" w:lineRule="exact"/>
        <w:rPr>
          <w:sz w:val="20"/>
          <w:szCs w:val="20"/>
          <w:color w:val="auto"/>
        </w:rPr>
      </w:pPr>
    </w:p>
    <w:p>
      <w:pPr>
        <w:ind w:left="660" w:right="1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the divestiture of one of our legacy lower growth private label fuel card portfolios. We expect to receive approximately $60 million in proceeds for the divestiture, which is expected to close in the fourth quarter of 2025. Revenues generated from the portfolio are included in our Vehicle Payments segment.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19" w:lineRule="exact"/>
        <w:rPr>
          <w:sz w:val="20"/>
          <w:szCs w:val="20"/>
          <w:color w:val="auto"/>
        </w:rPr>
      </w:pPr>
    </w:p>
    <w:p>
      <w:pPr>
        <w:ind w:left="660" w:right="3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acquired 70% of Zapay, a Brazil-based digital mobility solution for paying vehicle-related taxes and compliance fees, for approximately $59.5 million, net of cash. As part of the agreement, we have the right to acquire the remainder of Zapay in four years. The majority investment in Zapay further scales our Vehicle Payments business in Brazil.</w:t>
      </w:r>
    </w:p>
    <w:p>
      <w:pPr>
        <w:spacing w:after="0" w:line="67"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2024, we acquired 100% of Paymerang, a U.S. based leader in accounts payables automation solutions, for approximately $179.2 million, net of cash and cash equivalents and restricted cash acquired of $309 million. The acquisition expands our presence in several market verticals, including education, healthcare, hospitality and manufacturing. Results from Paymerang are reported in our Corporate Payments segment.</w:t>
      </w:r>
    </w:p>
    <w:p>
      <w:pPr>
        <w:spacing w:after="0" w:line="49" w:lineRule="exact"/>
        <w:rPr>
          <w:rFonts w:ascii="Times New Roman" w:cs="Times New Roman" w:eastAsia="Times New Roman" w:hAnsi="Times New Roman"/>
          <w:sz w:val="17"/>
          <w:szCs w:val="17"/>
          <w:color w:val="auto"/>
        </w:rPr>
      </w:pPr>
    </w:p>
    <w:p>
      <w:pPr>
        <w:ind w:left="660" w:right="1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Company acquired 100% of GPS Capital Markets, LLC ("GPS") for approximately $577.1 million, net of cash and cash equivalents acquired of $190.7 million. GPS provides business-to-business cross-border and treasury management solutions to upper middle market companies, primarily in the U.S. Results from GPS are reported in our Corporate Payments segment.</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disposed of our merchant solutions business for $185.5 million, net of cash disposed. Results from our merchant services solution business were previously included in our Vehicle Payments segment.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Company also completed asset acquisitions for approximately $6.7 million.</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50"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the three months ended June 30, 2024</w:t>
      </w:r>
    </w:p>
    <w:p>
      <w:pPr>
        <w:spacing w:after="0" w:line="1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three months ended June 30, 2025 and 2024 (in millions, except percentages)*.</w:t>
      </w:r>
    </w:p>
    <w:tbl>
      <w:tblPr>
        <w:tblLayout w:type="fixed"/>
        <w:tblInd w:w="0" w:type="dxa"/>
        <w:tblCellMar>
          <w:top w:w="0" w:type="dxa"/>
          <w:left w:w="0" w:type="dxa"/>
          <w:bottom w:w="0" w:type="dxa"/>
          <w:right w:w="0" w:type="dxa"/>
        </w:tblCellMar>
      </w:tblPr>
      <w:tr>
        <w:trPr>
          <w:trHeight w:val="165"/>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20" w:type="dxa"/>
            <w:vAlign w:val="bottom"/>
          </w:tcPr>
          <w:p>
            <w:pPr>
              <w:spacing w:after="0"/>
              <w:rPr>
                <w:sz w:val="14"/>
                <w:szCs w:val="14"/>
                <w:color w:val="auto"/>
              </w:rPr>
            </w:pPr>
          </w:p>
        </w:tc>
        <w:tc>
          <w:tcPr>
            <w:tcW w:w="1200" w:type="dxa"/>
            <w:vAlign w:val="bottom"/>
          </w:tcPr>
          <w:p>
            <w:pPr>
              <w:jc w:val="center"/>
              <w:ind w:right="3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1"/>
              <w:spacing w:after="0" w:line="162" w:lineRule="exact"/>
              <w:rPr>
                <w:sz w:val="20"/>
                <w:szCs w:val="20"/>
                <w:color w:val="auto"/>
              </w:rPr>
            </w:pPr>
            <w:r>
              <w:rPr>
                <w:rFonts w:ascii="Times New Roman" w:cs="Times New Roman" w:eastAsia="Times New Roman" w:hAnsi="Times New Roman"/>
                <w:sz w:val="16"/>
                <w:szCs w:val="16"/>
                <w:b w:val="1"/>
                <w:bCs w:val="1"/>
                <w:color w:val="auto"/>
              </w:rPr>
              <w:t>Ended June 30,</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Ended June 30, 2025</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Revenues, net</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Processing</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(loss) income attributable</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Consolidated revenues were $1,102.0 million in the three months ended June 30, 2025, an increase of 12.9% compared to the prior period. The increase in consolidated revenues was due primarily to organic growth of 11%, driven by increases in spend and transaction volumes, implementation and ramping of new sales and business initiatives. Consolidated revenues also grew 5% from acquisitions completed in 2024 and 2025. This growth was partially offset by the negative impact of the macroeconomic environment and approximately $10 million from the disposition of our merchant solutions business in December 2024.</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negative impact of approximately $19 million on our consolidated revenues for the three months ended June 30, 2025 over the comparable period in 2024. This negative impact was driven primarily by unfavorable foreign exchange rates of approximately $7 million, driven by our Brazil business but partially offset by our UK and Euro-denominated businesses, the unfavorable impact of fuel price spreads of approximately $7 million and unfavorable fuel prices of approximately $6 million.</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0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$238.5 million in the three months ended June 30, 2025, an increase of 14.0% compared to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processing expenses were primarily due to approximately $14 million of expenses related to acquisitions completed in 2024 and 2025, higher variable expenses driven by increased transaction volumes and investments to drive future growth and higher bad debt of approximately $3 million due to increased transaction volumes. The increases were partially offset by the impact of foreign exchange rates of approximately $3 million and the impact of the disposition of our merchant solutions business of approximately $5 million.</w:t>
      </w:r>
    </w:p>
    <w:p>
      <w:pPr>
        <w:spacing w:after="0" w:line="7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were $115.8 million in the three months ended June 30, 2025, an increase of 21.8% from the prior period. Increases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were primarily due to marketing investments to drive future growth, increased commissions from higher sales volume and approximately $8 million of expenses related to acquisitions completed in 2024 and 2025.</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$177.0 million in the three months ended June 30, 2025, an increase of 15.1%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period. The increase in general and administrative expenses was primarily due to acquisition-related deal fees, information technology investments and approximately $7 million of expenses related to acquisitions completed in 2024 and 2025.</w:t>
      </w:r>
    </w:p>
    <w:p>
      <w:pPr>
        <w:spacing w:after="0" w:line="6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$91.4 million in the three months ended June 30, 2025, an increase of 8.3%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prior period. Depreciation and amortization expenses increased due to incremental investments in capital expenditures and $8 million of expenses related to acquisitions completed in 2024 and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Consolidated operating income was $479.4 million in the three months ended June 30, 2025, an increase of 10.6% compared to the prior period due to the reasons discussed above.</w:t>
      </w:r>
    </w:p>
    <w:p>
      <w:pPr>
        <w:spacing w:after="0" w:line="5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net was $10.6 million in the three months ended June 30, 2025 primarily due to a gain realized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a cost method investment in the second quarter of 2025.</w:t>
      </w:r>
    </w:p>
    <w:p>
      <w:pPr>
        <w:spacing w:after="0" w:line="3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$96.9 million in the three months ended June 30, 2025, an increase of $2.2 million from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net interest expense was primarily due to increased borrowings used for acquisitions, partially offset by lower interest rates. The following table sets forth the average interest rates paid on borrowings under our Credit Facility, excluding the related unused facility fees and swaps.</w:t>
      </w:r>
    </w:p>
    <w:p>
      <w:pPr>
        <w:spacing w:after="0" w:line="24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1520" w:type="dxa"/>
        <w:tblCellMar>
          <w:top w:w="0" w:type="dxa"/>
          <w:left w:w="0" w:type="dxa"/>
          <w:bottom w:w="0" w:type="dxa"/>
          <w:right w:w="0" w:type="dxa"/>
        </w:tblCellMar>
      </w:tblPr>
      <w:tr>
        <w:trPr>
          <w:trHeight w:val="21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r>
    </w:tbl>
    <w:p>
      <w:pPr>
        <w:spacing w:after="0" w:line="17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cross-currency interest rate swaps, which are designated as net investment hedges. During the three months ended June 30, 2025, as a result of these swap contracts and net investment hedges, we recorded a benefit to interest expense of $9.9 million.</w:t>
      </w:r>
    </w:p>
    <w:p>
      <w:pPr>
        <w:spacing w:after="0" w:line="6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$109.0 million and 27.7%, respectively,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2025, compared to $82.5 million and 24.7%, respectively, for the prior period. Income tax expense is based on an estimated annual effective rate, which requires us to make our best estimate of annual pretax accounting income or loss before consideration of tax or benefit discretely recognized in the period in which such occur. Our effective income tax rate for the three months ended June 30, 2025 differs from the U.S. federal statutory rate due primarily to the unfavorable impact of state taxes net of federal benefits, additional taxes on undistributed foreign-sourced income and foreign withholding taxes on interest income from intercompany notes. The effective tax rate increase for the three months ended June 30, 2025 was driven primarily by the mix of earnings, the adoption of Pillar Two legislation, which resulted in a global minimum tax at a rate of 15% that impacted two jurisdictions in which we operate, and due to new state apportionment rules resulting in the revaluation of deferreds in the current period.</w:t>
      </w:r>
    </w:p>
    <w:p>
      <w:pPr>
        <w:spacing w:after="0" w:line="7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$284.2 million, or 12.9%,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during the three months ended June 30, 2025.</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2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Vehicle Payments revenues were $525.5 million in the three months ended June 30, 2025, an increase of 3.0% from the prior period. Vehicle Payments revenues increased primarily due to organic revenue growth of 9% and new sales growth in our international markets and the impact of our acquisitions, which contributed approximately $4 million. These increases were partially offset by unfavorable changes in foreign exchange rates on revenue of $10 million, the disposition of our merchant solutions business in December 2024, which lowered revenue by approximately $10 million, the unfavorable impact of fuel price spreads of approximately $7 million and unfavorable fuel prices of approximately $6 million.</w:t>
      </w:r>
    </w:p>
    <w:p>
      <w:pPr>
        <w:spacing w:after="0" w:line="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Vehicle Payments operating income was $250.1 million, an increase of 3.3% from the prior period. Vehicle Payments operating income and margin increased in the three months ended June 30, 2025 primarily due to organic revenue growth and the impact of our acquisitions discussed above, partially offset by the unfavorable macroeconomic environment and the impact of the disposition of our merchant solutions business, which resulted in lower operating income of approximately $6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Corporate Payments revenues were $391.9 million in the three months ended June 30, 2025, an increase of 35.9% from the prior period. Corporate Payments revenues increased primarily due to organic revenue growth of 18%, driven by 19% growth in spend volume, strong new sales in our payables and cross-border solutions and the impact of our acquisitions, which contributed approximately $42 million in revenues.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Payments operating income was $161.2 million in the three months ended June 30, 2025, an increase of 33.7% from the prior period. Corporate Payments operating income increased primarily due to organic revenue growth, integration synergies and the impact of our acquisitions, partially offset by sales investments to grow the business and one-time integration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Lodging Payments revenues were $119.8 million in the three months ended June 30, 2025, a decrease of 2.1% from the prior period. The decrease in Lodging Payments revenues was primarily due to continued weakness in the airline solution and lower emergency-related activity, partially offset by room night volume increases in the workforce solution.</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$49.6 million in the three months ended June 30, 2025, a decrease of 12.1% from the prior period. Lodging Payments operating income and margin declined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revenues were $64.8 million in the three months ended June 30, 2025, an increase of 18.8% from the prior period, due to timing of transactions in our Gift business.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Other operating income was $18.5 million in the three months ended June 30, 2025, an increase of 28.5% from the prior period, primarily due to the reasons discussed above.</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the six months ended June 30, 2024</w:t>
      </w:r>
    </w:p>
    <w:p>
      <w:pPr>
        <w:spacing w:after="0" w:line="12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six months ended June 30, 2025 and 2024 (in millions, except percentages)*.</w:t>
      </w:r>
    </w:p>
    <w:tbl>
      <w:tblPr>
        <w:tblLayout w:type="fixed"/>
        <w:tblInd w:w="0" w:type="dxa"/>
        <w:tblCellMar>
          <w:top w:w="0" w:type="dxa"/>
          <w:left w:w="0" w:type="dxa"/>
          <w:bottom w:w="0" w:type="dxa"/>
          <w:right w:w="0" w:type="dxa"/>
        </w:tblCellMar>
      </w:tblPr>
      <w:tr>
        <w:trPr>
          <w:trHeight w:val="165"/>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7"/>
              </w:rPr>
              <w:t>% of Total</w:t>
            </w:r>
          </w:p>
        </w:tc>
        <w:tc>
          <w:tcPr>
            <w:tcW w:w="13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7"/>
              </w:rPr>
              <w:t>% of Total</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6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Vehicle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Payments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30"/>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Lodging Payments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Vehicle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Payments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Lodging Payments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Consolidated revenues were $2,107.7 million in the six months ended June 30, 2025, an increase of 10.3% compared to the prior period. The increase in consolidated revenues was due primarily to organic growth of 10%, driven by increases in spend and transaction volumes, implementation and ramping of new sales and business initiatives. Consolidated revenues also grew 5% from acquisitions completed in 2024 and 2025. This growth was partially offset by the negative impact of the macroeconomic environment and approximately $19 million from the disposition of our merchant solutions business in December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negative impact of approximately</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$70 million on our consolidated revenues for the six months ended June 30, 2025 over the comparable period in 2024, driven primarily by unfavorable foreign exchange rates of approximately $49 million, mostly in our Brazil business, the unfavorable fuel price spreads of approximately $13 million and the unfavorable impact of fuel prices of approximately $9 million.</w:t>
      </w: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0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$460.4 million in the six months ended June 30, 2025, an increase of 10.5% compared to the prior period. Increases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processing expenses were primarily due to approximately $30 million of expenses related to acquisitions completed in 2024 and 2025, higher variable expenses driven by increased transaction volumes and investments to drive future growth and higher bad debt of $10 million due to increased transaction volumes. The increases were partially offset by the impact of foreign exchange rates of approximately $13 million and the impact of the disposition of our merchant solutions business of approximately $9 million.</w:t>
      </w:r>
    </w:p>
    <w:p>
      <w:pPr>
        <w:spacing w:after="0" w:line="7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were $223.3 million in the six months ended June 30, 2025, an increase of 18.0% from the prior period. Increases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were primarily due to sales and marketing investments to drive future growth, increased commissions from higher sales volume and approximately $17 million of expenses related to acquisitions completed in 2024 and 2025. The increases were partially offset by the impact of foreign exchange rates of approximately $4 million.</w:t>
      </w:r>
    </w:p>
    <w:p>
      <w:pPr>
        <w:spacing w:after="0" w:line="6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$334.0 million in the six months ended June 30, 2025, an increase of 9.5%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period. The increase in general and administrative expenses was primarily due to acquisition-related deal fees, information technology investments and approximately $14 million of expenses related to acquisitions completed in 2024 and 2025. The increases were partially offset by the impact of foreign exchange rates of approximately $3 million and lower stock-based compensation expense.</w:t>
      </w:r>
    </w:p>
    <w:p>
      <w:pPr>
        <w:spacing w:after="0" w:line="6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$183.5 million in the six months ended June 30, 2025, an increase of 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prior period. Depreciation and amortization expenses increased due to incremental investments in capital expenditures and approximately</w:t>
      </w:r>
    </w:p>
    <w:p>
      <w:pPr>
        <w:spacing w:after="0" w:line="1"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$16 million of expenses related to acquisitions completed in 2024 and 2025. These increases were offset by the impact of foreign exchange rates of approximately $3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was $906.5 million in the six months ended June 30, 2025, an increase of 9.1% compared to the prior period. The increase in operating income was primarily due to the reasons discussed above.</w:t>
      </w:r>
    </w:p>
    <w:p>
      <w:pPr>
        <w:spacing w:after="0" w:line="5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net was $6.5 million in the six months ended June 30, 2025 primarily due to the disposition of a cost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in the second quarter of 2025, as compared to other expense, net of $7.4 million for the six months ended June 30, 2024 primarily due to the impact of fluctuations in foreign exchange rates on non-functional currency balances.</w:t>
      </w:r>
    </w:p>
    <w:p>
      <w:pPr>
        <w:spacing w:after="0" w:line="5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$190.8 million in the six months ended June 30, 2025, an increase of $7.0 million from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interest expense was primarily due to increased borrowings used for acquisitions, partially offset by lower interest rates and higher interest income due to higher rates. The following table sets forth the average interest rates paid on borrowings under our Credit Facility, excluding the related unused facility fees and swaps.</w:t>
      </w:r>
    </w:p>
    <w:p>
      <w:pPr>
        <w:spacing w:after="0" w:line="15"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r>
    </w:tbl>
    <w:p>
      <w:pPr>
        <w:spacing w:after="0" w:line="16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cross-currency interest rate swaps, which are designated as net investment hedges. During the six months ended June 30, 2025, as a result of these swap contracts and net investment hedges, we recorded a benefit to interest expense, net of $19.7 million.</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$192.6 million and 26.7% for the six months ended June 30,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$158.0 million and 24.7% for the prior period. Income tax expense is based on an estimated annual effective rate, which requires us to make our best estimate of annual pretax accounting income or loss before consideration of tax or benefit discretely recognized in the period in which such occur. The increase in the provision for income taxes for the six months ending June 30, 2025 over the comparable period in 2024 was due to the mix of earnings, the adoption of Pillar Two legislation, which resulted in a global minimum tax at a rate of 15% that impacted two jurisdictions in which we operate, and due to new state apportionment rules resulting in the revaluation of deferreds in the current period.</w:t>
      </w:r>
    </w:p>
    <w:p>
      <w:pPr>
        <w:spacing w:after="0" w:line="7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$527.4 million in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2025, an increase of 9.6% from the prior period.</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2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Vehicle Payments revenues were $1,012.6 million in the six months ended June 30, 2025, an increase of 0.8%, from the prior period. Vehicle Payments revenues increased primarily due to organic revenue growth of 8% driven by new sales growth and the impact of acquisitions, which contributed approximately $13 million in revenue. These increases were partially offset by unfavorable exchange rates on revenue of $47 million, the disposition of our merchant solutions business in December 2024, which lowered revenue by approximately $19 million, the unfavorable impact of fuel price spreads of approximately $13 million and unfavorable fuel prices of approximately $8 million.</w:t>
      </w:r>
    </w:p>
    <w:p>
      <w:pPr>
        <w:spacing w:after="0" w:line="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Vehicle Payments operating income was $480.4 million in the six months ended June 30, 2025, an increase of 2.7% from the prior period primarily due to organic revenue growth and the impact of our acquisitions discussed above, partially offset by the unfavorable macroeconomic environment and the impact of the disposition of our merchant solutions business, which resulted in lower operating income of approximately $11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Corporate Payments revenues were $744.6 million in the six months ended June 30, 2025, an increase of 34.4%, from the prior period. Corporate Payments revenues increased primarily due to organic revenue growth of 18%, driven by a 19% growth in spend volume, strong new sales in our payables and cross-border solutions and the impact of our acquisitions, which contributed approximately $78 million in revenue.</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Corporate Payments operating income was $297.1 million in the six months ended June 30, 2025, an increase of 31.9% from the prior period. Corporate Payments operating income increased primarily due to reasons discussed above and integration synergies, partially offset by sales investments to grow the business and one-time integration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Lodging Payments revenues were $230.0 million in the six months ended June 30, 2025, a decrease of 1.6% from the prior period. The decrease in Lodging Payments revenues was primarily due to a decline in room nights in our airline business from prior year, partially offset by room night volume increases in the workforce solution.</w:t>
      </w:r>
    </w:p>
    <w:p>
      <w:pPr>
        <w:spacing w:after="0" w:line="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$92.9 million in the six months ended June 30, 2025, a decrease of 10.4% from the prior period. Lodging Payments operating income and margin declined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revenues were $120.5 million in the six months ended June 30, 2025, an increase of 1.2% from the prior period, driven by the timing of gift card sales and increases in gift card transaction volume, partially offset by declines in our payroll card business.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operating income was $36.2 million in the six months ended June 30, 2025, an increase of 6.3%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We believe that our current level of cash and borrowing capacity under our Credit Facility, Securitization Facility (as defined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facilities (each discussed below), together with expected future cash flows from operations, will be sufficient to meet the needs of our existing operations and planned requirements for at least the next 12 months and into the foreseeable future, based on our current assumptions. At June 30, 2025, we had approximately $3.5 billion in total liquidity, consisting of approximately $1.4 billion available under our Credit Facility and unrestricted cash of $2.2 billion, a portion of which includes customer deposits or is required for working capital and regulatory purposes. Restricted cash primarily represents customer deposits repayable on demand held in certain geographies with legal restrictions, customer funds held for the benefit of others, collateral received from customers for cross-currency transactions in our cross-border business, which is restricted from use other than to repay customer deposits and to secure and settle cross-currency transactions, and collateral posted with banks for hedging positions in our cross-border business.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utilize the Securitization Facility to finance a portion of our domestic receivables, to lower our cost of borrowing and more efficiently use capital. Accounts receivable collateralized within our Securitization Facility relate to trade receivables resulting primarily from charge card activity in Vehicle Payments and Corporate Payments and receivables related to our Lodging Payments business in the U.S. We also consider the available and undrawn amounts under our Securitization Facility and Credit Facility as funds available for working capital purposes and acquisitions. At June 30, 2025, we had no additional liquidity under our Securitization Facility.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 periods ended June 30, 2025 and 2024 (in millions).</w:t>
      </w:r>
    </w:p>
    <w:p>
      <w:pPr>
        <w:spacing w:after="0" w:line="15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6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891.1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Pr>
          <w:p>
            <w:pPr>
              <w:spacing w:after="0"/>
              <w:rPr>
                <w:sz w:val="19"/>
                <w:szCs w:val="19"/>
                <w:color w:val="auto"/>
              </w:rPr>
            </w:pP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$1,066.1 million in the six months ended June 30, 2025, compared to $891.1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comparable prior period. This increase in operating cash flows was primarily driven by changes in working capital.</w:t>
      </w:r>
    </w:p>
    <w:p>
      <w:pPr>
        <w:spacing w:after="0" w:line="4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$222.6 million in the six months ended June 30, 2025 compared to $146.6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prior period. The increase in cash used for investing activities was primarily due to incremental spending on acquisitions completed in 2025 over the comparable period in 2024. Additionally, our capital expenditures were $97.4 million in the six months ended June 30, 2025, an increase of $12.1 million, or 14%, from $85.3 million in the comparable prior period due to the impact of acquisitions and continued investments in technology. The increase was partially offset by the sale of a cost method investment during the second quarter of 2025.</w:t>
      </w:r>
    </w:p>
    <w:p>
      <w:pPr>
        <w:spacing w:after="0" w:line="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$78.4 million in the six months ended June 30, 2025 compared to net cash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$239.2 million in the comparable prior period. This change in financing cash flows was primarily due to a decrease in outflows for repurchases of common stock of $856.2 million in 2025 over the comparable period in 2024, partially offset by a decrease in net borrowings on our Credit Facility and Securitization Facility of $484.3 million in 2025 versus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Corpay Technologies Operating Company, LLC, and certain of our domestic and foreign owned subsidiaries, as designated co-borrowers (the "Borrowers"), are parties to a $8.25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$1.8 billion, a Term Loan A facility in the amount of $3.3 billion and a Term Loan B facility in the amount of $3.2 billion. The revolving credit facility consists of (a) a revolving A credit facility in the amount of $1.3 billion, with sublimits for letters of credit and swing line loans and (b) a revolving B facility in the amount of $500 million with borrowings in U.S. dollars, euros, British pounds, Japanese yen or other currency as agreed in advance and a sublimit for swing line loans. Proceeds from the credit facilities may be used for working capital purposes, acquisitions and other general corporate purposes. The maturity date for the Term Loan A and revolving credit facilities A and B is June 24, 2027. The Term Loan B has a maturity date of April 30, 2028.</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20, 2025, we entered into the sixteenth amendment to the Credit Agreement. The amendment increased the Term Loan B commitments by</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$750 million. We primarily used the Term Loan B proceeds to pay down existing borrowings under the revolving credit facility. The maturity dates and the interest rates for the revolving credit facility, Term Loan A and Term Loan B commitments were unchanged by this amendment.</w:t>
      </w:r>
    </w:p>
    <w:p>
      <w:pPr>
        <w:spacing w:after="0" w:line="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June 30, 2025, the interest rate on the Term Loan A was 5.80%, the interest rate on the Term Loan B was 6.08%, and the interest rate on the Revolving A and B facilities (USD borrowings) was 5.80%. The unused credit facility fee was 0.25% at June 30, 2025.</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At June 30, 2025, we had $3.0 billion in borrowings outstanding on the Term Loan A, net of discounts and debt issuance costs, $3.1 billion in borrowings outstanding on the Term Loan B, net of discounts and debt issuance costs and $0.4 billion outstanding on the revolving credit facilities. We have unamortized debt issuance costs of $2.7 million related to the revolving credit facilities as of June 30, 2025 recorded within other assets in the Unaudited Consolidated Balance Sheets. We have unamortized debt discounts and debt issuance costs of $19.7 million related to our Term Loans at June 30, 2025 recorded in notes payable and other obligations, net of current portion within the Unaudited Consolidated Balance Sheets.</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made borrowings of $750.0 million on the Term Loans, principal payments of $98.6 million on the Term Loans and net payments of $843.0 million on the revolving credit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were in compliance with each of the financial and non-financial covenants under the Credit Agreement.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party to a $1.8 billion receivables purchase agreement among Corpay Funding LLC, as seller, PNC Bank, National Association as administrator, and various purchaser agents, conduit purchasers and related committed purchasers parties thereto. The Securitization Facility matures on the earlier of January 24, 2028 or the first maturity date of any loan under the Credit Agreement, which is June 24, 2027. At June 30, 2025, the interest rate on the Securitization Facility was 5.31%.</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68" w:lineRule="exact"/>
        <w:rPr>
          <w:sz w:val="20"/>
          <w:szCs w:val="20"/>
          <w:color w:val="auto"/>
        </w:rPr>
      </w:pPr>
    </w:p>
    <w:p>
      <w:pPr>
        <w:ind w:right="1140"/>
        <w:spacing w:after="0" w:line="375" w:lineRule="auto"/>
        <w:rPr>
          <w:sz w:val="20"/>
          <w:szCs w:val="20"/>
          <w:color w:val="auto"/>
        </w:rPr>
      </w:pPr>
      <w:r>
        <w:rPr>
          <w:rFonts w:ascii="Times New Roman" w:cs="Times New Roman" w:eastAsia="Times New Roman" w:hAnsi="Times New Roman"/>
          <w:sz w:val="18"/>
          <w:szCs w:val="18"/>
          <w:color w:val="auto"/>
        </w:rPr>
        <w:t xml:space="preserve">We were in compliance with all financial and non-financial covenant requirements related to our Securitization Facility as of June 30, 2025. </w:t>
      </w:r>
      <w:r>
        <w:rPr>
          <w:rFonts w:ascii="Times New Roman" w:cs="Times New Roman" w:eastAsia="Times New Roman" w:hAnsi="Times New Roman"/>
          <w:sz w:val="18"/>
          <w:szCs w:val="18"/>
          <w:b w:val="1"/>
          <w:bCs w:val="1"/>
          <w:i w:val="1"/>
          <w:iCs w:val="1"/>
          <w:color w:val="auto"/>
        </w:rPr>
        <w:t>Other Facilities</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entered into facilities intended to provide additional means to manage working capital needs for our cross-border solutions.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four uncommitted overdraft facilities with a combined capacity of $205.0 million,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either 1% or 1.25% or (b) SOFR plus 1.25%. As of June 30, 2025, we had no borrowings outstanding under the uncommitted credit facilities.</w:t>
      </w:r>
    </w:p>
    <w:p>
      <w:pPr>
        <w:spacing w:after="0" w:line="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also have a 364-day committed revolving credit facility with a total commitment of $70.0 million and maturity date of February 20, 2026. Borrowings under this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June 30, 2025, we had no borrowings outstanding under the committed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62"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As of June 30, 2025, we had the following outstanding interest rate swap derivatives that qualify as hedging instruments within designated cash flow hedges of variable interest rate risk (in millions):</w:t>
      </w:r>
    </w:p>
    <w:p>
      <w:pPr>
        <w:spacing w:after="0" w:line="159"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1/31/2026</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$4.5 billion of unspecified variable rate debt, the sole source of which is due to changes in the SOFR benchmark interest rate. For each of these swap contracts, we pay a fixed monthly rate and receive one month SOFR.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hedges resulted in a $7.8 million reduction in interest expense, net during the six months ended June 30, 2025.</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July 2025, we entered into two additional receive-variable SOFR, pay-fixed interest rate swap derivative contracts with a total notional U.S. dollar value of $500 million to replace our previous interest rate swap derivative contracts with an equivalent notional value that matured on July 31, 2025. The maturity dates of the new interest rate swap contracts are January 31, 2029 and July 31, 2029.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enter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Upon maturity of a net investment hedge, if not rolled over or restructured, the final exchange may require a cash settlement based on the differential in prevailing exchange rates versus the initial rate in the hedge. This could result in a significant cash payment depending on market conditions at the time of settlement.</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June 30, 2025, we had the following cross-currency interest rate swaps designated as net investment hedges of our investments in foreign-denominated operations:</w:t>
      </w:r>
    </w:p>
    <w:p>
      <w:pPr>
        <w:spacing w:after="0" w:line="78"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5/26/2026</w:t>
            </w:r>
          </w:p>
        </w:tc>
        <w:tc>
          <w:tcPr>
            <w:tcW w:w="0" w:type="dxa"/>
            <w:vAlign w:val="bottom"/>
          </w:tcPr>
          <w:p>
            <w:pPr>
              <w:spacing w:after="0"/>
              <w:rPr>
                <w:sz w:val="1"/>
                <w:szCs w:val="1"/>
                <w:color w:val="auto"/>
              </w:rPr>
            </w:pPr>
          </w:p>
        </w:tc>
      </w:tr>
      <w:tr>
        <w:trPr>
          <w:trHeight w:val="230"/>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swaps due to changes in the USD/foreign currency spot rates. We anticipate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We recognized a benefit of $11.9 million in interest expense, net for the six months ended June 30, 2025 related to these excluded components.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0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February 4, 2016, we announced that our Board approved a stock repurchase program (as updated from time to time, the "Program") authorizing us to repurchase up to $9.1 billion of our common stock from time to time until February 4, 2026. Since the beginning of the Program through June 30, 2025, 33,340,243 shares have been repurchased for an aggregate purchase price</w:t>
      </w: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of $7.9 billion, leaving us up to $1.2 billion of remaining authorization available under the Program for future repurchases of shares of our common stock.</w:t>
      </w:r>
    </w:p>
    <w:p>
      <w:pPr>
        <w:spacing w:after="0" w:line="15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6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In July 2025, we announced pursuant to Rule 2.7 of the United Kingdom City Code on Takeovers and Mergers a firm intention to make a cash offer to acquire 100% of Alpha Group International plc (LSE: ALPHA) ("Alpha"). The acquisition is to be effected by means of a court-sanctioned scheme of arrangement under Part 26 of the UK Companies Act 2006. The acquisition values Alpha at an enterprise valuation of approximately $2.2 billion. Alpha is a leading provider of B2B cross border foreign exchange solutions to corporations and investment funds in the United Kingdom and Europe. Alpha pioneered alternative bank accounts as a simpler, faster way for investment managers to fund their investments and pay expenses anywhere in Europe.</w:t>
      </w:r>
    </w:p>
    <w:p>
      <w:pPr>
        <w:spacing w:after="0" w:line="130"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2025, subject to shareholder and regulatory approval, court approval of the Scheme and standard closing conditions and will be reflected in our Corporate Payments segment. We expect to fund the acquisition through a combination of cash, debt, bank capital optimization and non-core divestitures.</w:t>
      </w:r>
    </w:p>
    <w:p>
      <w:pPr>
        <w:spacing w:after="0" w:line="12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On July 23, 2025, we entered into a bridge term loan credit agreement with BOFA Securities, Inc., Barclays Bank PLC and JPMorgan Chase Bank, N.A., pursuant to which, among other things, those lenders have committed to provide debt financing, consisting of a £1.875 billion bridge facility (the “Bridge Facility”), to fund the cash consideration payable pursuant to the acquisition and to fund costs and expenses in connection with the acquisition. The obligation of the lenders to provide the financing contemplated by the Bridge Facility is subject to a number of customary conditions.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Divestiture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2025, we announced the divestiture of one of our legacy lower growth private label fuel card portfolios. We expect to receive approximately</w:t>
      </w:r>
    </w:p>
    <w:p>
      <w:pPr>
        <w:spacing w:after="0" w:line="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$60 million in proceeds for the divestiture, which is expected to close in the fourth quarter of 2025. Revenues generated from the portfolio are included in our Vehicle Payments segment.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April 2025, we expanded our long-standing strategic partnership agreement with Mastercard to deliver an enhanced suite of corporate cross-border payment solutions. The transaction also includes an investment in our Cross-Border business with Mastercard acquiring a 2.8% interest in the Cross-Border business for $300 million. For six months starting on July 1, 2027 (subject to extension if investment closing is delayed), Mastercard will have the right to sell its interest back to us. If Mastercard does not exercise that right, for four months starting on April 1, 2028 (subject to extension if investment closing is delayed), we will have a reciprocal repurchase right. In each case, the purchase price is the amount of invested capital plus 8% per annum, compounded annually. The investment into our Cross-Border business is expected to close during the second half of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Minority Investment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May 2025, we along with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transaction is expected to close in the fourth quarter of 2025, subject to regulatory approvals, AvidXchange shareholder approval and other standard closing conditions.</w:t>
      </w:r>
    </w:p>
    <w:p>
      <w:pPr>
        <w:spacing w:after="0" w:line="19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expect to invest approximately $550 million for approximately 34% of the equity in the limited partnership for an approximately $1.9 billion enterprise valuation. The partnership will utilize approximately $450 million of debt financing to consummate the transaction. TPG will hold approximately 56% of the equity, and the management team of AvidXchange will hold the remainder. In addition to other terms, the limited partnership agreement provides that, 33 months after closing of the AvidXchange acquisition, we will have the right to acquire all the remaining outstanding equity in the limited partnership for approximately 2.5 times invested capital. If, in fact, we achieve our business plan, then this could represent an attractive valuation. If we do not exercise such right to acquire all of the remaining outstanding equity and TPG decides to sell the limited partnership to a third party within a period of 15 months thereafter, we will guarantee a return to our partners, subject to certain limitations, of approximately 1.6 times invested capital. The partnership will ultimately need to sell AvidXchange in 2029 for an approximately similar valuation as today’s acquisition price to avoid the requirement to pay any minimum return payment.</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8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Accounting estimates necessarily require subjective determinations about future events and conditions. During the three months ended June 30, 2025,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2024. For critical accounting policies, refer to the Critical Accounting Estimates in Item 7 – Management’s Discussion and Analysis of Financial Condition and Results of Operations included in our Annual Report on Form 10-K for the year ended December 31, 2024 and our summary of significant accounting policies in Note 1 of our Notes to the Unaudited Consolidated Financial Statements in this Quarterly Report on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Financial Measures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Organic Revenues, net by KPI. </w:t>
      </w:r>
      <w:r>
        <w:rPr>
          <w:rFonts w:ascii="Times New Roman" w:cs="Times New Roman" w:eastAsia="Times New Roman" w:hAnsi="Times New Roman"/>
          <w:sz w:val="18"/>
          <w:szCs w:val="18"/>
          <w:color w:val="auto"/>
        </w:rPr>
        <w:t>Organic revenue growth is calculated as revenue in the current period adjusted for the impact of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We define the pro forma and macro adjusted revenue as revenue, net as reflected in our statement of income, adjusted to eliminate the impact of the macroeconomic environment and the impact of acquisitions and dispositions. The macroeconomic environment impact includes the impact that market fuel price spreads, fuel prices and foreign exchange rates have on our business. We use pro forma and macro adjusted revenue and transactions to evaluate the organic growth in our revenue and the associated transactions. We believe that organic revenue growth is useful to investors for understanding the performance of Corpay.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ind w:right="340"/>
        <w:spacing w:after="0" w:line="250" w:lineRule="auto"/>
        <w:rPr>
          <w:sz w:val="20"/>
          <w:szCs w:val="20"/>
          <w:color w:val="auto"/>
        </w:rPr>
      </w:pPr>
      <w:r>
        <w:rPr>
          <w:rFonts w:ascii="Times New Roman" w:cs="Times New Roman" w:eastAsia="Times New Roman" w:hAnsi="Times New Roman"/>
          <w:sz w:val="18"/>
          <w:szCs w:val="18"/>
          <w:color w:val="auto"/>
        </w:rPr>
        <w:t>Set forth below is a reconciliation of pro forma and macro adjusted revenue and key performance metric by segment, used to calculate organic revenue growth, to the most directly comparable GAAP measure, revenue, net and key performance metric (in millions):*</w:t>
      </w:r>
    </w:p>
    <w:p>
      <w:pPr>
        <w:spacing w:after="0" w:line="116"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Key Performance Metric</w:t>
            </w: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0" w:type="dxa"/>
            <w:vAlign w:val="bottom"/>
          </w:tcPr>
          <w:p>
            <w:pPr>
              <w:spacing w:after="0"/>
              <w:rPr>
                <w:sz w:val="16"/>
                <w:szCs w:val="16"/>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auto"/>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9"/>
              </w:rPr>
              <w:t>VEHICLE PAYMENTS - TRANSACTIONS</w:t>
            </w:r>
          </w:p>
        </w:tc>
        <w:tc>
          <w:tcPr>
            <w:tcW w:w="3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620" w:type="dxa"/>
            <w:vAlign w:val="bottom"/>
            <w:tcBorders>
              <w:bottom w:val="single" w:sz="8" w:color="auto"/>
            </w:tcBorders>
            <w:gridSpan w:val="5"/>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CORPORATE PAYMENTS - SPEND</w:t>
            </w:r>
          </w:p>
        </w:tc>
        <w:tc>
          <w:tcPr>
            <w:tcW w:w="780" w:type="dxa"/>
            <w:vAlign w:val="bottom"/>
            <w:tcBorders>
              <w:bottom w:val="single" w:sz="8" w:color="CCEEFF"/>
            </w:tcBorders>
            <w:gridSpan w:val="4"/>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58,114</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42,878</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040" w:type="dxa"/>
            <w:vAlign w:val="bottom"/>
            <w:tcBorders>
              <w:bottom w:val="single" w:sz="8" w:color="auto"/>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LODGING PAYMENTS - ROOM NIGHTS</w:t>
            </w:r>
          </w:p>
        </w:tc>
        <w:tc>
          <w:tcPr>
            <w:tcW w:w="360" w:type="dxa"/>
            <w:vAlign w:val="bottom"/>
            <w:tcBorders>
              <w:bottom w:val="single" w:sz="8" w:color="CCEEFF"/>
            </w:tcBorders>
            <w:gridSpan w:val="2"/>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340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u w:val="single" w:color="auto"/>
                <w:color w:val="auto"/>
                <w:vertAlign w:val="superscript"/>
              </w:rPr>
              <w:t>1</w:t>
            </w:r>
            <w:r>
              <w:rPr>
                <w:rFonts w:ascii="Times New Roman" w:cs="Times New Roman" w:eastAsia="Times New Roman" w:hAnsi="Times New Roman"/>
                <w:sz w:val="13"/>
                <w:szCs w:val="13"/>
                <w:b w:val="1"/>
                <w:bCs w:val="1"/>
                <w:color w:val="auto"/>
              </w:rPr>
              <w:t>- TRANSACTIONS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20" w:type="dxa"/>
            <w:vAlign w:val="bottom"/>
          </w:tcPr>
          <w:p>
            <w:pPr>
              <w:spacing w:after="0"/>
              <w:rPr>
                <w:sz w:val="15"/>
                <w:szCs w:val="15"/>
                <w:color w:val="auto"/>
              </w:rPr>
            </w:pPr>
          </w:p>
        </w:tc>
        <w:tc>
          <w:tcPr>
            <w:tcW w:w="34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 REVENUES,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NET</w:t>
            </w:r>
          </w:p>
        </w:tc>
        <w:tc>
          <w:tcPr>
            <w:tcW w:w="42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Impact of fuel prices/spread</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color w:val="auto"/>
              </w:rPr>
              <w:t>Intentionally Left Blank</w:t>
            </w:r>
          </w:p>
        </w:tc>
        <w:tc>
          <w:tcPr>
            <w:tcW w:w="20" w:type="dxa"/>
            <w:vAlign w:val="bottom"/>
            <w:shd w:val="clear" w:color="auto" w:fill="000000"/>
          </w:tcPr>
          <w:p>
            <w:pPr>
              <w:spacing w:after="0"/>
              <w:rPr>
                <w:sz w:val="19"/>
                <w:szCs w:val="19"/>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gridSpan w:val="9"/>
          </w:tcPr>
          <w:p>
            <w:pPr>
              <w:spacing w:after="0" w:line="216" w:lineRule="exact"/>
              <w:rPr>
                <w:sz w:val="20"/>
                <w:szCs w:val="20"/>
                <w:color w:val="auto"/>
              </w:rPr>
            </w:pPr>
            <w:r>
              <w:rPr>
                <w:rFonts w:ascii="Times New Roman" w:cs="Times New Roman" w:eastAsia="Times New Roman" w:hAnsi="Times New Roman"/>
                <w:sz w:val="16"/>
                <w:szCs w:val="16"/>
                <w:color w:val="auto"/>
              </w:rPr>
              <w:t>Impact of foreign exchange rates</w:t>
            </w:r>
            <w:r>
              <w:rPr>
                <w:rFonts w:ascii="Times New Roman" w:cs="Times New Roman" w:eastAsia="Times New Roman" w:hAnsi="Times New Roman"/>
                <w:sz w:val="21"/>
                <w:szCs w:val="21"/>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40"/>
        </w:trPr>
        <w:tc>
          <w:tcPr>
            <w:tcW w:w="20" w:type="dxa"/>
            <w:vAlign w:val="bottom"/>
            <w:tcBorders>
              <w:bottom w:val="single" w:sz="8" w:color="CCEEFF"/>
            </w:tcBorders>
            <w:shd w:val="clear" w:color="auto" w:fill="CCEEFF"/>
          </w:tcPr>
          <w:p>
            <w:pPr>
              <w:spacing w:after="0"/>
              <w:rPr>
                <w:sz w:val="3"/>
                <w:szCs w:val="3"/>
                <w:color w:val="auto"/>
              </w:rPr>
            </w:pPr>
          </w:p>
        </w:tc>
        <w:tc>
          <w:tcPr>
            <w:tcW w:w="34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138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3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116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540" w:type="dxa"/>
            <w:vAlign w:val="bottom"/>
            <w:tcBorders>
              <w:bottom w:val="single" w:sz="8" w:color="CCEEFF"/>
            </w:tcBorders>
            <w:shd w:val="clear" w:color="auto" w:fill="CCEEFF"/>
          </w:tcPr>
          <w:p>
            <w:pPr>
              <w:spacing w:after="0"/>
              <w:rPr>
                <w:sz w:val="3"/>
                <w:szCs w:val="3"/>
                <w:color w:val="auto"/>
              </w:rPr>
            </w:pPr>
          </w:p>
        </w:tc>
        <w:tc>
          <w:tcPr>
            <w:tcW w:w="1060" w:type="dxa"/>
            <w:vAlign w:val="bottom"/>
            <w:tcBorders>
              <w:bottom w:val="single" w:sz="8" w:color="CCEEFF"/>
            </w:tcBorders>
            <w:shd w:val="clear" w:color="auto" w:fill="CCEEFF"/>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 Columns may not calculate due to rounding.</w:t>
      </w:r>
    </w:p>
    <w:p>
      <w:pPr>
        <w:spacing w:after="0" w:line="1" w:lineRule="exact"/>
        <w:rPr>
          <w:sz w:val="20"/>
          <w:szCs w:val="20"/>
          <w:color w:val="auto"/>
        </w:rPr>
      </w:pPr>
    </w:p>
    <w:p>
      <w:pPr>
        <w:ind w:left="700" w:hanging="80"/>
        <w:spacing w:after="0"/>
        <w:tabs>
          <w:tab w:leader="none" w:pos="70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60" w:lineRule="exact"/>
        <w:rPr>
          <w:sz w:val="20"/>
          <w:szCs w:val="20"/>
          <w:color w:val="auto"/>
        </w:rPr>
      </w:pPr>
    </w:p>
    <w:p>
      <w:pPr>
        <w:ind w:left="620" w:right="640"/>
        <w:spacing w:after="0" w:line="199" w:lineRule="auto"/>
        <w:tabs>
          <w:tab w:leader="none" w:pos="723"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Revenues reflect the negative impact of movements in foreign exchange rates of approximately $7 million, negative fuel price spreads of approximately $7 million and approximately $6 million negative impact from fuel prices.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and adjusted net income per diluted share attributable to Corpay. </w:t>
      </w:r>
      <w:r>
        <w:rPr>
          <w:rFonts w:ascii="Times New Roman" w:cs="Times New Roman" w:eastAsia="Times New Roman" w:hAnsi="Times New Roman"/>
          <w:sz w:val="18"/>
          <w:szCs w:val="18"/>
          <w:color w:val="auto"/>
        </w:rPr>
        <w:t>We have defined the non-GAAP measure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net income attributable to Corpay as net income attributable to Corpay as reflected in our statement of income, adjusted to eliminate (a) non-cash stock-based compensation expense related to stock-based compensation awards, (b) amortization of deferred financing costs, discounts, intangible assets, amortization of the premium recognized on the purchase of receivables and amortization attributable to Corpay's noncontrolling interest,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 We have defined the non-GAAP measure adjusted net income per diluted share attributable to Corpay as the calculation previously noted divided by the weighted average diluted shares outstanding as reflected in our statement of income.</w:t>
      </w:r>
    </w:p>
    <w:p>
      <w:pPr>
        <w:spacing w:after="0" w:line="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net income attributable to Corpay and adjusted net income per diluted share attributable to Corpay are supplemental measures of operating performance that do not represent and should not be considered as an alternative to net income, net income per diluted share or cash flow from operations, as determined by GAAP. We believe it is useful to exclude non-cash</w:t>
      </w:r>
    </w:p>
    <w:p>
      <w:pPr>
        <w:sectPr>
          <w:pgSz w:w="11900" w:h="16838" w:orient="portrait"/>
          <w:cols w:equalWidth="0" w:num="1">
            <w:col w:w="11220"/>
          </w:cols>
          <w:pgMar w:left="320" w:top="783" w:right="359"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stock-based compensation expense from adjusted net income because non-cash equity grants made at a certain price and point in time do not necessarily reflect how our business is performing at any particular time and stock-based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using the effective tax rate during the period, exclusive of certain discrete tax items.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adjusted net income attributable to Corpay, adjusted net income per diluted share attributable to Corpay, organic revenue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and adjusted EBITDA:</w:t>
      </w:r>
    </w:p>
    <w:p>
      <w:pPr>
        <w:ind w:left="660" w:hanging="328"/>
        <w:spacing w:after="0" w:line="236" w:lineRule="auto"/>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as measurements of operating performance because they assist us in comparing our operating performance on a consistent basis;</w:t>
      </w:r>
    </w:p>
    <w:p>
      <w:pPr>
        <w:ind w:left="660" w:hanging="328"/>
        <w:spacing w:after="0" w:line="233" w:lineRule="auto"/>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for planning purposes, including the preparation of our internal annual operating budget;</w:t>
      </w:r>
    </w:p>
    <w:p>
      <w:pPr>
        <w:ind w:left="660" w:hanging="328"/>
        <w:spacing w:after="0" w:line="218" w:lineRule="auto"/>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to allocate resources to enhance the financial performance of our business;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to evaluate the performance and effectiveness of our operational strategies.</w:t>
      </w:r>
    </w:p>
    <w:p>
      <w:pPr>
        <w:spacing w:after="0" w:line="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481,394</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114,739</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 and deal related costs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w:t>
            </w: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and related costs</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r>
      <w:tr>
        <w:trPr>
          <w:trHeight w:val="230"/>
        </w:trPr>
        <w:tc>
          <w:tcPr>
            <w:tcW w:w="4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adjustments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192,488</w:t>
            </w: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(47,579)</w:t>
            </w: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366,421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324,983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689,347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626,303</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Adjusted net income per diluted share attributable to</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72,516</w:t>
            </w:r>
          </w:p>
        </w:tc>
      </w:tr>
    </w:tbl>
    <w:p>
      <w:pPr>
        <w:spacing w:after="0" w:line="82" w:lineRule="exact"/>
        <w:rPr>
          <w:sz w:val="20"/>
          <w:szCs w:val="20"/>
          <w:color w:val="auto"/>
        </w:rPr>
      </w:pPr>
    </w:p>
    <w:p>
      <w:pPr>
        <w:ind w:left="420" w:hanging="84"/>
        <w:spacing w:after="0"/>
        <w:tabs>
          <w:tab w:leader="none" w:pos="4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related to intangible assets, premium on receivables, deferred financing costs and debt discounts.</w:t>
      </w:r>
    </w:p>
    <w:p>
      <w:pPr>
        <w:spacing w:after="0" w:line="44" w:lineRule="exact"/>
        <w:rPr>
          <w:sz w:val="20"/>
          <w:szCs w:val="20"/>
          <w:color w:val="auto"/>
        </w:rPr>
      </w:pPr>
    </w:p>
    <w:p>
      <w:pPr>
        <w:ind w:left="340" w:right="720" w:hanging="4"/>
        <w:spacing w:after="0" w:line="208" w:lineRule="auto"/>
        <w:tabs>
          <w:tab w:leader="none" w:pos="4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losses and gains on foreign currency transactions, certain legal expenses, amortization expense attributable to the Company's noncontrolling interest, taxes associated with stock-based compensation programs and a loss on an economic hedge of a foreign-denominated purchase price of an acquisition and a gain on sale of a cost method investment.</w:t>
      </w:r>
    </w:p>
    <w:p>
      <w:pPr>
        <w:spacing w:after="0" w:line="8" w:lineRule="exact"/>
        <w:rPr>
          <w:sz w:val="20"/>
          <w:szCs w:val="20"/>
          <w:color w:val="auto"/>
        </w:rPr>
      </w:pPr>
    </w:p>
    <w:p>
      <w:pPr>
        <w:ind w:left="420" w:hanging="84"/>
        <w:spacing w:after="0"/>
        <w:tabs>
          <w:tab w:leader="none" w:pos="4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provision for income taxes of pre-tax adjustments.</w:t>
      </w:r>
    </w:p>
    <w:p>
      <w:pPr>
        <w:spacing w:after="0" w:line="4" w:lineRule="exact"/>
        <w:rPr>
          <w:sz w:val="20"/>
          <w:szCs w:val="20"/>
          <w:color w:val="auto"/>
        </w:rPr>
      </w:pPr>
    </w:p>
    <w:p>
      <w:pPr>
        <w:ind w:left="340" w:right="740" w:hanging="4"/>
        <w:spacing w:after="0" w:line="204" w:lineRule="auto"/>
        <w:tabs>
          <w:tab w:leader="none" w:pos="443"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discrete non-cash tax provision recognized in the second quarter of 2025 related to the remeasurement of deferred tax assets and liabilities as a result of a tax law change in California.</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Adjusted EBITDA and Adjusted EBITDA margin. </w:t>
      </w:r>
      <w:r>
        <w:rPr>
          <w:rFonts w:ascii="Times New Roman" w:cs="Times New Roman" w:eastAsia="Times New Roman" w:hAnsi="Times New Roman"/>
          <w:sz w:val="18"/>
          <w:szCs w:val="18"/>
          <w:color w:val="auto"/>
        </w:rPr>
        <w:t>EBITDA is defined as earnings before interest, income taxes, interest expense, net,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expense, net, depreciation and amortization, loss on extinguishment of debt, goodwill impairment, investment loss/gain and other operating, net. Adjusted EBITDA is defined as EBITDA further adjusted for stock-based compensation expense and other one-time items including certain legal expenses, restructuring costs and integration and deal related costs. Adjusted EBITDA margin is defined as adjusted EBITDA as a percentage of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adjusted EBITDA and adjusted EBITDA margin to net income (in millions)*:</w:t>
      </w:r>
    </w:p>
    <w:p>
      <w:pPr>
        <w:spacing w:after="0" w:line="28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481.5</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158.0</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169.1</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net</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517.7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1,000.1</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3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$52.1</w:t>
            </w: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addbacks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554.4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1,176.0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1,070.9</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975.7</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1,911.0</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r>
    </w:tbl>
    <w:p>
      <w:pPr>
        <w:spacing w:after="0" w:line="49" w:lineRule="exact"/>
        <w:rPr>
          <w:sz w:val="20"/>
          <w:szCs w:val="20"/>
          <w:color w:val="auto"/>
        </w:rPr>
      </w:pPr>
    </w:p>
    <w:p>
      <w:pPr>
        <w:ind w:left="540" w:right="4240" w:hanging="8"/>
        <w:spacing w:after="0" w:line="236" w:lineRule="auto"/>
        <w:tabs>
          <w:tab w:leader="none" w:pos="643"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legal expenses, restructuring costs and integration and deal related costs * Columns may not calculate due to rounding.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2024 filed with the Securities and Exchange Commission on February 27, 2025, many of which are outside of our control, that could cause our actual results and experience to differ materially from any forward-looking statement.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not be realized due to a variety of factors, including, without limitation:</w:t>
      </w:r>
    </w:p>
    <w:p>
      <w:pPr>
        <w:spacing w:after="0" w:line="104" w:lineRule="exact"/>
        <w:rPr>
          <w:sz w:val="20"/>
          <w:szCs w:val="20"/>
          <w:color w:val="auto"/>
        </w:rPr>
      </w:pPr>
    </w:p>
    <w:p>
      <w:pPr>
        <w:ind w:left="340" w:right="12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any recession or economic downturn that has occurred or may occur in the future, and whether expected trends, including retail fuel prices, fuel price spreads, fuel transaction patterns, electric vehicles, retail lodging prices, foreign exchange rates and interest rates develop as anticipated and our ability to develop successful strategies if these trends change;</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plan and portfolio review, manage our growth and achieve our performance targets;</w:t>
      </w:r>
    </w:p>
    <w:p>
      <w:pPr>
        <w:spacing w:after="0" w:line="117"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partners, merchants, and providers, their promotion and support of our products, and their financial performance;</w:t>
      </w:r>
    </w:p>
    <w:p>
      <w:pPr>
        <w:spacing w:after="0" w:line="53"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the derivative financial instruments that we use in our Cross-Border solution to reduce our exposure to various market risks, including changes in foreign exchange rates;</w:t>
      </w:r>
    </w:p>
    <w:p>
      <w:pPr>
        <w:spacing w:after="0" w:line="53"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management assumptions and estimates, as well as differences in, and changes to, economic, market, interest rate, interchange fees, foreign exchange rates, and credit conditions, including changes in borrowers’ credit risks and payment behaviors;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higher borrowing costs and adverse financial market conditions impacting our funding and liquidity, and any reduction in our credit ratings;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risks and the sufficiency of our allowance for expected credit losses;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securitize our trade receivables;</w:t>
      </w:r>
    </w:p>
    <w:p>
      <w:pPr>
        <w:spacing w:after="0" w:line="117"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fraudulent activity, data breaches or failures of our information security controls or cybersecurity-related incidents that may compromise our systems or customers’ information;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operations of our computer systems and data centers;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operational and political risks and compliance and regulatory risks and costs associated with international operations;</w:t>
      </w:r>
    </w:p>
    <w:p>
      <w:pPr>
        <w:spacing w:after="0" w:line="117"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conflicts, including between Russia and Ukraine, as well as within the Middle East, on the global economy or our business and operations;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global tariff and trade policies and potential retaliatory actions by affected countries;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new technology, products,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alleged infringement of intellectual property rights of others and our ability to protect our intellectual property;</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supervision, and examination of our business by foreign and domestic governmental authorities, as well as litigation and regulatory actions, including the lawsuit filed by the Federal Trade Commission (FTC);</w:t>
      </w:r>
    </w:p>
    <w:p>
      <w:pPr>
        <w:spacing w:after="0" w:line="5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and related requirements relating to privacy, information security and data protection; derivative contracts and hedging activities; use of third-party vendors and ongoing third-party business relationships; and failure to comply with anti-money laundering (AML) and anti-terrorism financing laws;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team and our ability to attract, motivate and retain qualified personnel consistent with our strategic plan;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legislation initiatives or challenges to our tax positions and/or interpretations, and state sales tax rules and regulations;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340" w:right="16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mergers, acquisitions and divestitures, including, without limitation, the related time and costs of implementing such transactions, integrating operations as part of these transactions and possible failures to achieve expected gains, revenue growth and/or expense savings from such transactions;</w:t>
      </w:r>
    </w:p>
    <w:p>
      <w:pPr>
        <w:spacing w:after="0" w:line="67"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completion of the acquisition of a partnership interest in AvidXchange and the acquisition of Alpha, including, in each case, the satisfaction of any conditions thereto;</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and the ongoing effectiveness of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2024 filed with the Securities and Exchange Commission on February 27, 2025.</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get Corpay’s SEC filings for free by visiting the SEC web site at www.sec.gov.</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GAAP financial measures and a reconciliation to the nearest corresponding GAAP measure.</w:t>
      </w:r>
    </w:p>
    <w:p>
      <w:pPr>
        <w:spacing w:after="0" w:line="35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2025, there have been no material changes to our market risk from that disclosed in our Annual Report on Form 10-K for the year ended December 31, 2024.</w:t>
      </w:r>
    </w:p>
    <w:p>
      <w:pPr>
        <w:spacing w:after="0" w:line="33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June 30, 2025,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and as a result of the material weakness described below, our Chief Executive Officer and Chief Financial Officer concluded that, as of June 30, 2025, our disclosure controls and procedures were not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not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2024, we identified the following material weakness in internal controls:</w:t>
      </w:r>
    </w:p>
    <w:p>
      <w:pPr>
        <w:spacing w:after="0" w:line="54"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(1) A material weakness in internal control related to ineffective information technology general controls (ITGCs) in the area of user access management over certain information technology systems used in the execution of controls that support the Company’s financial reporting processes. Our business process application and manual controls that are dependent on the affected ITGCs were also deemed ineffective because they could have been adversely impacted. We believe that these control deficiencies were the result of challenges in the prior year implementation of technology aimed to automate the user access review process. Specifically, these deficiencies pertained to the completeness and accuracy of data used in the automated solution and in existing manual user access control processes that lacked sufficient documentation and formality, as well as insufficient training of information technology personnel responsible for the execution and documentation of ITGCs. The material weakness did not result in any identified misstatements to the financial statements, and there were no changes to previously released financial results.</w:t>
      </w:r>
    </w:p>
    <w:p>
      <w:pPr>
        <w:spacing w:after="0" w:line="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the material weakness identified, the Company is updating its internal control over financial reporting as discussed in its remediation plan updated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Update</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660" w:right="60" w:hanging="4"/>
        <w:spacing w:after="0" w:line="254" w:lineRule="auto"/>
        <w:tabs>
          <w:tab w:leader="none" w:pos="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continues to implement measures to ensure that control deficiencies contributing to the material weakness are remediated, such that these controls are designed, implemented and operating effectively. The remediation actions include: (i) enhancing the information technology compliance oversight function; (ii) developing a training program addressing ITGCs and policies, including educating control owners concerning the principles and requirements of internal controls, with a focus on those related to user access over information technology systems impacting financial reporting; (iii) developing and maintaining documentation underlying ITGCs to enhance the information evidencing the performance of ITGCs; (iv) developing enhanced integration functionality and controls related to the ongoing implementation of user access information technology system; (v) enhancing the information technology management review and testing plan to monitor ITGCs with a specific focus on systems supporting our financial reporting processes; and (vi) enhancing quarterly reporting on the remediation measures to the Audit Committee of the Board.</w:t>
      </w:r>
    </w:p>
    <w:p>
      <w:pPr>
        <w:spacing w:after="0" w:line="21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We believe that these actions will remediate the material weakness. The material weaknesses will not be considered remediated, however, until the applicable controls operate for a sufficient period of time and our management has concluded, through testing, that these controls are operating effectively.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Except for the remediation described above, there have been no other changes in our internal control over financial reporting (as defined in Rules 13a-15(f) or 15d-15(f) of the Exchange Act) during the quarter ended June 30, 2025, that have materially affected, or are reasonably likely to materially affect, our internal control over financial reporting.</w:t>
      </w: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Corpay, Inc. and its subsidiaries,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8"/>
          <w:szCs w:val="18"/>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8"/>
          <w:szCs w:val="18"/>
          <w:color w:val="auto"/>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sought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 w:cs="Times New Roman" w:eastAsia="Times New Roman" w:hAnsi="Times New Roman"/>
          <w:sz w:val="18"/>
          <w:szCs w:val="18"/>
          <w:i w:val="1"/>
          <w:iCs w:val="1"/>
          <w:color w:val="auto"/>
        </w:rPr>
        <w:t>Jerrell Whitten, derivatively on behalf of Fleetcor Technologies,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Ronald F. Clarke and Eric R. Dey</w:t>
      </w:r>
      <w:r>
        <w:rPr>
          <w:rFonts w:ascii="Times New Roman" w:cs="Times New Roman" w:eastAsia="Times New Roman" w:hAnsi="Times New Roman"/>
          <w:sz w:val="18"/>
          <w:szCs w:val="18"/>
          <w:color w:val="auto"/>
        </w:rPr>
        <w:t>, against Mr. Clarke and Mr. Dey in Gwinnett County, Georgia. The defendants dispute the allegations in the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complaints and intend to vigorously defend against the claims. On May 1, 2024, both pending derivative cases were transferred to the Fulton County Metro Atlanta Business Case Division and consolidated as </w:t>
      </w:r>
      <w:r>
        <w:rPr>
          <w:rFonts w:ascii="Times New Roman" w:cs="Times New Roman" w:eastAsia="Times New Roman" w:hAnsi="Times New Roman"/>
          <w:sz w:val="18"/>
          <w:szCs w:val="18"/>
          <w:i w:val="1"/>
          <w:iCs w:val="1"/>
          <w:color w:val="auto"/>
        </w:rPr>
        <w:t>In re Corpay, Inc. Shareholder Derivative Litigation</w:t>
      </w:r>
      <w:r>
        <w:rPr>
          <w:rFonts w:ascii="Times New Roman" w:cs="Times New Roman" w:eastAsia="Times New Roman" w:hAnsi="Times New Roman"/>
          <w:sz w:val="18"/>
          <w:szCs w:val="18"/>
          <w:color w:val="auto"/>
        </w:rPr>
        <w:t>, CAFN 2023CV383303 (consolidated with CAFN 2023CV381421).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2025, the Court granted defendants’ motion to dismiss the consolidated lawsuit. Plaintiffs did not appeal.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On December 20, 2019, the FTC filed a lawsuit in the Northern District of Georgia against the Company and Ron Clarke. See FTC v. </w:t>
      </w:r>
      <w:r>
        <w:rPr>
          <w:rFonts w:ascii="Times New Roman" w:cs="Times New Roman" w:eastAsia="Times New Roman" w:hAnsi="Times New Roman"/>
          <w:sz w:val="18"/>
          <w:szCs w:val="18"/>
          <w:i w:val="1"/>
          <w:iCs w:val="1"/>
          <w:color w:val="auto"/>
        </w:rPr>
        <w:t>FleetCor</w:t>
      </w:r>
      <w:r>
        <w:rPr>
          <w:rFonts w:ascii="Times New Roman" w:cs="Times New Roman" w:eastAsia="Times New Roman" w:hAnsi="Times New Roman"/>
          <w:sz w:val="18"/>
          <w:szCs w:val="18"/>
          <w:color w:val="auto"/>
        </w:rPr>
        <w:t xml:space="preserve"> and Ronald F. Clarke, No. 19-cv-05727 (N.D. Ga.). The complaint alleges the Company and Ron Clarke violated the FTC Act’s prohibitions on unfair and deceptive acts and practices. The complaint seeks among other things injunctive relief, consumer redress, and costs of suit. The Company continues to believe that the FTC’s claims are without merit and these matters are not and will not be material to the Company’s financial performance.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administration action will remain in place during the pendency of the Eleventh Circuit appeal. Oral argument in the Eleventh Circuit appeal was held on January 21, 2025. The Company has incurred and</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continues to incur legal and other fees related to this FTC complaint. Any settlement of this matter, or defense against the lawsuit, could involve costs to the Company, including legal fees, redress, penalties, and remediation expenses.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2024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2024.</w:t>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Securities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announced on February 4, 2016 that its Board approved a stock repurchase program (as updated from time to time, the "Program") authorizing the Company to repurchase its common stock from time to time until February 4, 2026. On November 5, 2024, the Board authorized an increase to the aggregate size of the Program by $1.0 billion to $9.1 billion. Since the beginning of the Program through June 30, 2025, 33,340,243 shares have been repurchased for an aggregate purchase price of $7.9 billion, leaving the Company up to $1.2 billion of remaining authorization available under the Program for future repurchases of shares of its common stock.</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June 30, 2025, with respect to purchases of common stock of the Company made during the three months ended June 30, 2025 by the Company as defined in Rule 10b-18(a)(3) under the Exchange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Value that May</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the</w:t>
            </w:r>
          </w:p>
        </w:tc>
        <w:tc>
          <w:tcPr>
            <w:tcW w:w="1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46"/>
        </w:trPr>
        <w:tc>
          <w:tcPr>
            <w:tcW w:w="440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7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0" w:type="dxa"/>
            <w:vAlign w:val="bottom"/>
          </w:tcPr>
          <w:p>
            <w:pPr>
              <w:spacing w:after="0"/>
              <w:rPr>
                <w:sz w:val="1"/>
                <w:szCs w:val="1"/>
                <w:color w:val="auto"/>
              </w:rPr>
            </w:pPr>
          </w:p>
        </w:tc>
      </w:tr>
      <w:tr>
        <w:trPr>
          <w:trHeight w:val="203"/>
        </w:trPr>
        <w:tc>
          <w:tcPr>
            <w:tcW w:w="4400" w:type="dxa"/>
            <w:vAlign w:val="bottom"/>
            <w:gridSpan w:val="2"/>
            <w:vMerge w:val="continue"/>
          </w:tcPr>
          <w:p>
            <w:pPr>
              <w:spacing w:after="0"/>
              <w:rPr>
                <w:sz w:val="17"/>
                <w:szCs w:val="17"/>
                <w:color w:val="auto"/>
              </w:rPr>
            </w:pPr>
          </w:p>
        </w:tc>
        <w:tc>
          <w:tcPr>
            <w:tcW w:w="17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80" w:type="dxa"/>
            <w:vAlign w:val="bottom"/>
          </w:tcPr>
          <w:p>
            <w:pPr>
              <w:spacing w:after="0"/>
              <w:rPr>
                <w:sz w:val="17"/>
                <w:szCs w:val="17"/>
                <w:color w:val="auto"/>
              </w:rPr>
            </w:pPr>
          </w:p>
        </w:tc>
        <w:tc>
          <w:tcPr>
            <w:tcW w:w="14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through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through May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354.75</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through June 30,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1,184,881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right="360" w:firstLine="6"/>
        <w:spacing w:after="0" w:line="208" w:lineRule="auto"/>
        <w:tabs>
          <w:tab w:leader="none" w:pos="107"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quarter ended June 30, 2025, pursuant to our Stock Incentive Plan, we withheld 92,329 shares, at an average price per share of $344.41, in order to satisfy employees' tax withholding obligations in connection with the vesting of awards of restricted stock.</w:t>
      </w:r>
    </w:p>
    <w:p>
      <w:pPr>
        <w:spacing w:after="0" w:line="28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7"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360" w:type="dxa"/>
            <w:vAlign w:val="bottom"/>
            <w:gridSpan w:val="4"/>
          </w:tcPr>
          <w:p>
            <w:pPr>
              <w:jc w:val="center"/>
              <w:spacing w:after="0"/>
              <w:rPr>
                <w:rFonts w:ascii="Times New Roman" w:cs="Times New Roman" w:eastAsia="Times New Roman" w:hAnsi="Times New Roman"/>
                <w:sz w:val="18"/>
                <w:szCs w:val="18"/>
                <w:color w:val="auto"/>
                <w:w w:val="97"/>
              </w:rPr>
            </w:pPr>
            <w:hyperlink r:id="rId76">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1</w:t>
              </w:r>
            </w:hyperlink>
          </w:p>
        </w:tc>
        <w:tc>
          <w:tcPr>
            <w:tcW w:w="540" w:type="dxa"/>
            <w:vAlign w:val="bottom"/>
          </w:tcPr>
          <w:p>
            <w:pPr>
              <w:spacing w:after="0"/>
              <w:rPr>
                <w:sz w:val="17"/>
                <w:szCs w:val="17"/>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FLEETCOR Technologies, Inc., now known as Corpay, Inc., conformed</w:t>
            </w:r>
          </w:p>
        </w:tc>
      </w:tr>
      <w:tr>
        <w:trPr>
          <w:trHeight w:val="151"/>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to reflect amendments through June 9, 2022 (incorporated by reference to Exhibit 3.1 to the registrant’s Annual Report on</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10-K, File No. 001-35004, filed with the SEC on February 28, 2023)</w:t>
            </w:r>
          </w:p>
        </w:tc>
      </w:tr>
      <w:tr>
        <w:trPr>
          <w:trHeight w:val="243"/>
        </w:trPr>
        <w:tc>
          <w:tcPr>
            <w:tcW w:w="320" w:type="dxa"/>
            <w:vAlign w:val="bottom"/>
            <w:gridSpan w:val="3"/>
          </w:tcPr>
          <w:p>
            <w:pPr>
              <w:jc w:val="center"/>
              <w:ind w:left="10"/>
              <w:spacing w:after="0"/>
              <w:rPr>
                <w:rFonts w:ascii="Times New Roman" w:cs="Times New Roman" w:eastAsia="Times New Roman" w:hAnsi="Times New Roman"/>
                <w:sz w:val="18"/>
                <w:szCs w:val="18"/>
                <w:color w:val="auto"/>
                <w:w w:val="97"/>
              </w:rPr>
            </w:pPr>
            <w:hyperlink r:id="rId77">
              <w:r>
                <w:rPr>
                  <w:rFonts w:ascii="Times New Roman" w:cs="Times New Roman" w:eastAsia="Times New Roman" w:hAnsi="Times New Roman"/>
                  <w:sz w:val="18"/>
                  <w:szCs w:val="18"/>
                  <w:color w:val="auto"/>
                  <w:w w:val="97"/>
                </w:rPr>
                <w:t>3.</w:t>
              </w:r>
            </w:hyperlink>
            <w:r>
              <w:rPr>
                <w:rFonts w:ascii="Times New Roman" w:cs="Times New Roman" w:eastAsia="Times New Roman" w:hAnsi="Times New Roman"/>
                <w:sz w:val="18"/>
                <w:szCs w:val="18"/>
                <w:u w:val="single" w:color="auto"/>
                <w:color w:val="auto"/>
                <w:w w:val="97"/>
              </w:rPr>
              <w:t>2</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Certificate of Ownership and Merger Merging CPAY Merger Sub, Inc. into FLEETCOR Technologies, Inc. effective on March</w:t>
            </w:r>
          </w:p>
        </w:tc>
      </w:tr>
      <w:tr>
        <w:trPr>
          <w:trHeight w:val="151"/>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24, 2024 (incorporated by reference to Exhibit 3.1 to the Registrant’s Current Report on Form 8-K, File No. 001-35004, filed</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the SEC on March 7, 2024)</w:t>
            </w:r>
          </w:p>
        </w:tc>
      </w:tr>
      <w:tr>
        <w:trPr>
          <w:trHeight w:val="243"/>
        </w:trPr>
        <w:tc>
          <w:tcPr>
            <w:tcW w:w="360" w:type="dxa"/>
            <w:vAlign w:val="bottom"/>
            <w:gridSpan w:val="4"/>
          </w:tcPr>
          <w:p>
            <w:pPr>
              <w:jc w:val="center"/>
              <w:spacing w:after="0"/>
              <w:rPr>
                <w:rFonts w:ascii="Times New Roman" w:cs="Times New Roman" w:eastAsia="Times New Roman" w:hAnsi="Times New Roman"/>
                <w:sz w:val="18"/>
                <w:szCs w:val="18"/>
                <w:color w:val="auto"/>
                <w:w w:val="97"/>
              </w:rPr>
            </w:pPr>
            <w:hyperlink r:id="rId78">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3</w:t>
              </w:r>
            </w:hyperlink>
          </w:p>
        </w:tc>
        <w:tc>
          <w:tcPr>
            <w:tcW w:w="540" w:type="dxa"/>
            <w:vAlign w:val="bottom"/>
          </w:tcPr>
          <w:p>
            <w:pPr>
              <w:spacing w:after="0"/>
              <w:rPr>
                <w:sz w:val="21"/>
                <w:szCs w:val="21"/>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Corpay, Inc. Amended and Restated Bylaws, effective as of March 24, 2024 (incorporated by reference to Exhibit 3.2 to the</w:t>
            </w:r>
          </w:p>
        </w:tc>
      </w:tr>
      <w:tr>
        <w:trPr>
          <w:trHeight w:val="214"/>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Current Report on Form 8-K, File No. 001-35004, filed with the SEC on March 7, 2024)</w:t>
            </w:r>
          </w:p>
        </w:tc>
      </w:tr>
      <w:tr>
        <w:trPr>
          <w:trHeight w:val="238"/>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8"/>
              </w:rPr>
              <w:t>10.1*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Offer letter, dated June 2, 2025, between Corpay Technologies Operating Company, LLC and Peter Walker</w:t>
            </w:r>
          </w:p>
        </w:tc>
      </w:tr>
      <w:tr>
        <w:trPr>
          <w:trHeight w:val="20"/>
        </w:trPr>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r>
      <w:tr>
        <w:trPr>
          <w:trHeight w:val="263"/>
        </w:trPr>
        <w:tc>
          <w:tcPr>
            <w:tcW w:w="900" w:type="dxa"/>
            <w:vAlign w:val="bottom"/>
            <w:gridSpan w:val="5"/>
          </w:tcPr>
          <w:p>
            <w:pPr>
              <w:jc w:val="center"/>
              <w:ind w:right="480"/>
              <w:spacing w:after="0"/>
              <w:rPr>
                <w:rFonts w:ascii="Times New Roman" w:cs="Times New Roman" w:eastAsia="Times New Roman" w:hAnsi="Times New Roman"/>
                <w:sz w:val="18"/>
                <w:szCs w:val="18"/>
                <w:color w:val="auto"/>
                <w:w w:val="95"/>
              </w:rPr>
            </w:pPr>
            <w:hyperlink r:id="rId79">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2</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Co-operation Agreement, dated July 23, 2025, by and between Corpay and Alpha (incorporated by</w:t>
            </w:r>
          </w:p>
        </w:tc>
      </w:tr>
      <w:tr>
        <w:trPr>
          <w:trHeight w:val="151"/>
        </w:trPr>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reference to Exhibit 10.1 to the registration’s Current Report on Form 8-K, File No. 001-35004, filed with the SEC on July 23,</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2025)</w:t>
            </w:r>
          </w:p>
        </w:tc>
      </w:tr>
      <w:tr>
        <w:trPr>
          <w:trHeight w:val="243"/>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as</w:t>
            </w:r>
          </w:p>
        </w:tc>
      </w:tr>
      <w:tr>
        <w:trPr>
          <w:trHeight w:val="214"/>
        </w:trPr>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and rule 15d-14(a) of the Securities Exchange Act, as</w:t>
            </w:r>
          </w:p>
        </w:tc>
      </w:tr>
      <w:tr>
        <w:trPr>
          <w:trHeight w:val="214"/>
        </w:trPr>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18 U.S.C. 1350, as adopted pursuant to Section 906 of the Sarbanes-Oxley</w:t>
            </w:r>
          </w:p>
        </w:tc>
      </w:tr>
      <w:tr>
        <w:trPr>
          <w:trHeight w:val="214"/>
        </w:trPr>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38"/>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1350, as adopted pursuant to Section 906 of the Sarbanes-Oxley</w:t>
            </w:r>
          </w:p>
        </w:tc>
      </w:tr>
      <w:tr>
        <w:trPr>
          <w:trHeight w:val="214"/>
        </w:trPr>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25"/>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financial information for the Registrant formatted in XBRL (Extensible Business Reporting Language): (i) the</w:t>
            </w:r>
          </w:p>
        </w:tc>
      </w:tr>
      <w:tr>
        <w:trPr>
          <w:trHeight w:val="184"/>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2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Consolidated Balance Sheets, (ii) the Unaudited Consolidated Statements of Income, (iii) the Unaudited Consolidated</w:t>
            </w:r>
          </w:p>
        </w:tc>
      </w:tr>
      <w:tr>
        <w:trPr>
          <w:trHeight w:val="180"/>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2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the Unaudited Consolidated Statements of Cash Flows and (v) the Notes to</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r>
      <w:tr>
        <w:trPr>
          <w:trHeight w:val="279"/>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104*</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their capacities indicated on August 7, 2025.</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Corpay, Inc.</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49"/>
        </w:trPr>
        <w:tc>
          <w:tcPr>
            <w:tcW w:w="49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80" w:type="dxa"/>
            <w:vAlign w:val="bottom"/>
          </w:tcPr>
          <w:p>
            <w:pPr>
              <w:spacing w:after="0"/>
              <w:rPr>
                <w:sz w:val="24"/>
                <w:szCs w:val="24"/>
                <w:color w:val="auto"/>
              </w:rPr>
            </w:pPr>
          </w:p>
        </w:tc>
        <w:tc>
          <w:tcPr>
            <w:tcW w:w="55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50"/>
        </w:trPr>
        <w:tc>
          <w:tcPr>
            <w:tcW w:w="492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Ronald F. Clarke</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145"/>
        </w:trPr>
        <w:tc>
          <w:tcPr>
            <w:tcW w:w="4920" w:type="dxa"/>
            <w:vAlign w:val="bottom"/>
            <w:tcBorders>
              <w:bottom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5540" w:type="dxa"/>
            <w:vAlign w:val="bottom"/>
            <w:vMerge w:val="restart"/>
          </w:tcPr>
          <w:p>
            <w:pPr>
              <w:ind w:left="300"/>
              <w:spacing w:after="0" w:line="181" w:lineRule="exact"/>
              <w:rPr>
                <w:sz w:val="20"/>
                <w:szCs w:val="20"/>
                <w:color w:val="auto"/>
              </w:rPr>
            </w:pPr>
            <w:r>
              <w:rPr>
                <w:rFonts w:ascii="Times New Roman" w:cs="Times New Roman" w:eastAsia="Times New Roman" w:hAnsi="Times New Roman"/>
                <w:sz w:val="18"/>
                <w:szCs w:val="18"/>
                <w:color w:val="auto"/>
              </w:rPr>
              <w:t>Directors (Duly Authorized Officer and Principal</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Ronald F. Clarke</w:t>
            </w:r>
          </w:p>
        </w:tc>
        <w:tc>
          <w:tcPr>
            <w:tcW w:w="780" w:type="dxa"/>
            <w:vAlign w:val="bottom"/>
          </w:tcPr>
          <w:p>
            <w:pPr>
              <w:spacing w:after="0" w:line="20" w:lineRule="exact"/>
              <w:rPr>
                <w:sz w:val="1"/>
                <w:szCs w:val="1"/>
                <w:color w:val="auto"/>
              </w:rPr>
            </w:pPr>
          </w:p>
        </w:tc>
        <w:tc>
          <w:tcPr>
            <w:tcW w:w="5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49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Walker</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41"/>
        </w:trPr>
        <w:tc>
          <w:tcPr>
            <w:tcW w:w="49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Walker</w:t>
            </w:r>
          </w:p>
        </w:tc>
        <w:tc>
          <w:tcPr>
            <w:tcW w:w="7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5" w:name="page56"/>
    <w:bookmarkEnd w:id="55"/>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817370" cy="42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8173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June 2, 2025</w:t>
      </w:r>
      <w:r>
        <w:rPr>
          <w:sz w:val="20"/>
          <w:szCs w:val="20"/>
          <w:color w:val="auto"/>
        </w:rPr>
        <w:tab/>
      </w:r>
      <w:r>
        <w:rPr>
          <w:rFonts w:ascii="Arial" w:cs="Arial" w:eastAsia="Arial" w:hAnsi="Arial"/>
          <w:sz w:val="17"/>
          <w:szCs w:val="17"/>
          <w:b w:val="1"/>
          <w:bCs w:val="1"/>
          <w:color w:val="auto"/>
        </w:rPr>
        <w:t>final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Peter Walker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Delivered via email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Peter: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It’s been a pleasure getting to know you over the past several weeks; and we appreciate the time you’ve invested in getting to know us. On behalf of Corpay, we are pleased to offer you the position of Global Chief Financial Officer, reporting directly to me. Your start date will be July 15, 2025.</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super important role, you will be responsible for leading our Finance, Accounting, Investor Relations and Facilities functions and you will serve as a key member of the senior executive team.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Salary</w:t>
      </w:r>
    </w:p>
    <w:p>
      <w:pPr>
        <w:spacing w:after="0" w:line="252"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Your annualized salary will be $600,000, paid on a bi-weekly basis in accordance with Corpay’s normal payroll practice. Your base salary will be reviewed annually for increase (but not decrease) and all references to base salary herein refer to your base salary as so increased. Annual salary increases are not guaranteed.</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Bonus</w:t>
      </w:r>
    </w:p>
    <w:p>
      <w:pPr>
        <w:spacing w:after="0" w:line="252"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You will be eligible to participate in Corpay’s Senior Executive Bonus Program. The target payout for this bonus will be $400,000 or 66.7% of your base pay. All bonus payouts are dependent on the company meeting its financial targets, as well as the achievement of your individual bonus performance objectives. While the bonus is performance-based, it is also intended as a retention incentive, meaning you must be an active employee at the time of the bonus payout in order to be entitled to the bonus payment. You may earn more or less than your target, up to a maximum of 150% of target. Your 2025 actual payout will be guaranteed at $400,000 and will be paid in early 2026.</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Equity</w:t>
      </w:r>
    </w:p>
    <w:p>
      <w:pPr>
        <w:spacing w:after="0" w:line="252" w:lineRule="exact"/>
        <w:rPr>
          <w:sz w:val="20"/>
          <w:szCs w:val="20"/>
          <w:color w:val="auto"/>
        </w:rPr>
      </w:pPr>
    </w:p>
    <w:p>
      <w:pPr>
        <w:jc w:val="both"/>
        <w:ind w:left="980" w:hanging="324"/>
        <w:spacing w:after="0" w:line="257" w:lineRule="auto"/>
        <w:tabs>
          <w:tab w:leader="none" w:pos="975"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Cash EPS Program</w:t>
      </w:r>
      <w:r>
        <w:rPr>
          <w:rFonts w:ascii="Arial" w:cs="Arial" w:eastAsia="Arial" w:hAnsi="Arial"/>
          <w:sz w:val="18"/>
          <w:szCs w:val="18"/>
          <w:color w:val="auto"/>
        </w:rPr>
        <w:t>: On your start date, you will be granted $400,000 (grant date value - GDV) in Corpay restricted stock. This</w:t>
      </w:r>
      <w:r>
        <w:rPr>
          <w:rFonts w:ascii="Arial" w:cs="Arial" w:eastAsia="Arial" w:hAnsi="Arial"/>
          <w:sz w:val="18"/>
          <w:szCs w:val="18"/>
          <w:b w:val="1"/>
          <w:bCs w:val="1"/>
          <w:color w:val="auto"/>
        </w:rPr>
        <w:t xml:space="preserve"> </w:t>
      </w:r>
      <w:r>
        <w:rPr>
          <w:rFonts w:ascii="Arial" w:cs="Arial" w:eastAsia="Arial" w:hAnsi="Arial"/>
          <w:sz w:val="18"/>
          <w:szCs w:val="18"/>
          <w:color w:val="auto"/>
        </w:rPr>
        <w:t>grant will be performance-based and vests assuming Corpay achieves its 2025 Cash EPS target. This grant also has a one-year time-based vesting schedule from the date of grant. You should expect annual restricted stock grants of plus or minus $400,000 (GDV) with similar vesting requirements, assuming the compensation committee finds satisfactory performance for such a grant. The number of shares will be determined at the time of any such grant based on the fair market value on the grant date (i.e., GDV). Your 2025 grant will be prorated based on your appointment date.</w:t>
      </w:r>
    </w:p>
    <w:p>
      <w:pPr>
        <w:spacing w:after="0" w:line="208"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Performance-Based Equity: </w:t>
      </w:r>
      <w:r>
        <w:rPr>
          <w:rFonts w:ascii="Arial" w:cs="Arial" w:eastAsia="Arial" w:hAnsi="Arial"/>
          <w:sz w:val="18"/>
          <w:szCs w:val="18"/>
          <w:color w:val="auto"/>
        </w:rPr>
        <w:t>On your start date, you will be granted $1,200,000 (GDV) in Corpay restricted stock. You should</w:t>
      </w:r>
      <w:r>
        <w:rPr>
          <w:rFonts w:ascii="Arial" w:cs="Arial" w:eastAsia="Arial" w:hAnsi="Arial"/>
          <w:sz w:val="18"/>
          <w:szCs w:val="18"/>
          <w:b w:val="1"/>
          <w:bCs w:val="1"/>
          <w:color w:val="auto"/>
        </w:rPr>
        <w:t xml:space="preserve"> </w:t>
      </w:r>
      <w:r>
        <w:rPr>
          <w:rFonts w:ascii="Arial" w:cs="Arial" w:eastAsia="Arial" w:hAnsi="Arial"/>
          <w:sz w:val="18"/>
          <w:szCs w:val="18"/>
          <w:color w:val="auto"/>
        </w:rPr>
        <w:t>expect annual restricted stock grants of plus or minus $1,200,000 (GDV) with similar vesting requirements, assuming the CEO and compensation committee find satisfactory performance for such a grant. This grant will be divided into two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Corpay Technologies Operating 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3280 Peachtree Road, Terminus 100 | Atlanta, GA 30305</w:t>
      </w:r>
    </w:p>
    <w:p>
      <w:pPr>
        <w:sectPr>
          <w:pgSz w:w="11900" w:h="16838" w:orient="portrait"/>
          <w:cols w:equalWidth="0" w:num="1">
            <w:col w:w="11240"/>
          </w:cols>
          <w:pgMar w:left="320" w:top="9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300" w:hanging="320"/>
        <w:spacing w:after="0" w:line="257" w:lineRule="auto"/>
        <w:tabs>
          <w:tab w:leader="none" w:pos="1288" w:val="left"/>
        </w:tabs>
        <w:numPr>
          <w:ilvl w:val="1"/>
          <w:numId w:val="30"/>
        </w:numPr>
        <w:rPr>
          <w:rFonts w:ascii="Arial" w:cs="Arial" w:eastAsia="Arial" w:hAnsi="Arial"/>
          <w:sz w:val="18"/>
          <w:szCs w:val="18"/>
          <w:b w:val="1"/>
          <w:bCs w:val="1"/>
          <w:color w:val="auto"/>
        </w:rPr>
      </w:pPr>
      <w:r>
        <w:rPr>
          <w:rFonts w:ascii="Arial" w:cs="Arial" w:eastAsia="Arial" w:hAnsi="Arial"/>
          <w:sz w:val="18"/>
          <w:szCs w:val="18"/>
          <w:u w:val="single" w:color="auto"/>
          <w:color w:val="auto"/>
        </w:rPr>
        <w:t>One-Year Performance Metric, 3-Year Vest</w:t>
      </w:r>
      <w:r>
        <w:rPr>
          <w:rFonts w:ascii="Arial" w:cs="Arial" w:eastAsia="Arial" w:hAnsi="Arial"/>
          <w:sz w:val="18"/>
          <w:szCs w:val="18"/>
          <w:color w:val="auto"/>
        </w:rPr>
        <w:t>: 70% of your performance-based restricted stock (GDV = $840,000) will vest assuming 2025 performance. Specifically, the restricted stock will vest if Corpay achieves its 2025 GAAP Revenue target (macro-adjusted and as adjusted for the impact of any 2025 acquisitions and/or divestitures). This grant also has a three-year annual time-based vesting schedule from the date of grant. The number of shares will be determined at the time of any such grant based on the fair market value on the grant date (i.e., GDV). Your 2025 grant will be prorated based on your appointment date.</w:t>
      </w:r>
    </w:p>
    <w:p>
      <w:pPr>
        <w:spacing w:after="0" w:line="209" w:lineRule="exact"/>
        <w:rPr>
          <w:rFonts w:ascii="Arial" w:cs="Arial" w:eastAsia="Arial" w:hAnsi="Arial"/>
          <w:sz w:val="18"/>
          <w:szCs w:val="18"/>
          <w:b w:val="1"/>
          <w:bCs w:val="1"/>
          <w:color w:val="auto"/>
        </w:rPr>
      </w:pPr>
    </w:p>
    <w:p>
      <w:pPr>
        <w:jc w:val="both"/>
        <w:ind w:left="1300" w:hanging="320"/>
        <w:spacing w:after="0" w:line="257" w:lineRule="auto"/>
        <w:tabs>
          <w:tab w:leader="none" w:pos="1298" w:val="left"/>
        </w:tabs>
        <w:numPr>
          <w:ilvl w:val="1"/>
          <w:numId w:val="30"/>
        </w:numPr>
        <w:rPr>
          <w:rFonts w:ascii="Arial" w:cs="Arial" w:eastAsia="Arial" w:hAnsi="Arial"/>
          <w:sz w:val="18"/>
          <w:szCs w:val="18"/>
          <w:b w:val="1"/>
          <w:bCs w:val="1"/>
          <w:color w:val="auto"/>
        </w:rPr>
      </w:pPr>
      <w:r>
        <w:rPr>
          <w:rFonts w:ascii="Arial" w:cs="Arial" w:eastAsia="Arial" w:hAnsi="Arial"/>
          <w:sz w:val="18"/>
          <w:szCs w:val="18"/>
          <w:u w:val="single" w:color="auto"/>
          <w:color w:val="auto"/>
        </w:rPr>
        <w:t>Three-Year Performance Metric, 3-Year Cliff Vest</w:t>
      </w:r>
      <w:r>
        <w:rPr>
          <w:rFonts w:ascii="Arial" w:cs="Arial" w:eastAsia="Arial" w:hAnsi="Arial"/>
          <w:sz w:val="18"/>
          <w:szCs w:val="18"/>
          <w:color w:val="auto"/>
        </w:rPr>
        <w:t>: 30% of your performance-based restricted stock (GDV = $360,000) will vest cliff vest, at the end of the performance period, based on performance in 2025, 2026, and 2027. Specifically, the restricted stock will vest if Corpay achieves its cumulative GAAP Revenue target (macro-adjusted and as adjusted for the impact of any acquisitions and/or divestitures during the performance period) by December 31, 2027. The number of shares will be determined at the time of any such grant based on the fair market value on the grant date (i.e., GDV). Your 2025 grant will be prorated based on your appointment date.</w:t>
      </w:r>
    </w:p>
    <w:p>
      <w:pPr>
        <w:spacing w:after="0" w:line="209" w:lineRule="exact"/>
        <w:rPr>
          <w:rFonts w:ascii="Arial" w:cs="Arial" w:eastAsia="Arial" w:hAnsi="Arial"/>
          <w:sz w:val="18"/>
          <w:szCs w:val="18"/>
          <w:b w:val="1"/>
          <w:bCs w:val="1"/>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Time-Based Equity:</w:t>
      </w:r>
    </w:p>
    <w:p>
      <w:pPr>
        <w:spacing w:after="0" w:line="224" w:lineRule="exact"/>
        <w:rPr>
          <w:rFonts w:ascii="Times New Roman" w:cs="Times New Roman" w:eastAsia="Times New Roman" w:hAnsi="Times New Roman"/>
          <w:sz w:val="18"/>
          <w:szCs w:val="18"/>
          <w:color w:val="auto"/>
        </w:rPr>
      </w:pPr>
    </w:p>
    <w:p>
      <w:pPr>
        <w:ind w:left="1300" w:hanging="320"/>
        <w:spacing w:after="0" w:line="287" w:lineRule="auto"/>
        <w:tabs>
          <w:tab w:leader="none" w:pos="128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Time-Based Restricted Stock</w:t>
      </w:r>
      <w:r>
        <w:rPr>
          <w:rFonts w:ascii="Arial" w:cs="Arial" w:eastAsia="Arial" w:hAnsi="Arial"/>
          <w:sz w:val="18"/>
          <w:szCs w:val="18"/>
          <w:color w:val="auto"/>
        </w:rPr>
        <w:t>: On your start date, you will be granted $600,000 (GDV) in Corpay restricted stock. The stock will time-vest evenly over three years. This grant will be prorated based on your actual appointment date.</w:t>
      </w:r>
    </w:p>
    <w:p>
      <w:pPr>
        <w:spacing w:after="0" w:line="179"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On your start date, you will be granted $1,200,000 of Corpay stock options (GDV). These stock options will have a 10-year term, a per-share exercise price equal to the fair market value at the time of grant and will time-vest evenly over four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Peter, you should expect similar re-fresh annual equity grants beginning in calendar 2026 as follows:</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rPr>
              <w:t>Cash EPS</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$ 400,000</w:t>
            </w:r>
          </w:p>
        </w:tc>
        <w:tc>
          <w:tcPr>
            <w:tcW w:w="1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184"/>
        </w:trPr>
        <w:tc>
          <w:tcPr>
            <w:tcW w:w="2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3040" w:type="dxa"/>
            <w:vAlign w:val="bottom"/>
            <w:gridSpan w:val="2"/>
          </w:tcPr>
          <w:p>
            <w:pPr>
              <w:ind w:left="120"/>
              <w:spacing w:after="0" w:line="183" w:lineRule="exact"/>
              <w:rPr>
                <w:sz w:val="20"/>
                <w:szCs w:val="20"/>
                <w:color w:val="auto"/>
              </w:rPr>
            </w:pPr>
            <w:r>
              <w:rPr>
                <w:rFonts w:ascii="Arial" w:cs="Arial" w:eastAsia="Arial" w:hAnsi="Arial"/>
                <w:sz w:val="18"/>
                <w:szCs w:val="18"/>
                <w:color w:val="auto"/>
                <w:w w:val="99"/>
              </w:rPr>
              <w:t>Peformance-Based Restricted Stock</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3040" w:type="dxa"/>
            <w:vAlign w:val="bottom"/>
            <w:gridSpan w:val="2"/>
          </w:tcPr>
          <w:p>
            <w:pPr>
              <w:ind w:left="120"/>
              <w:spacing w:after="0" w:line="181" w:lineRule="exact"/>
              <w:rPr>
                <w:sz w:val="20"/>
                <w:szCs w:val="20"/>
                <w:color w:val="auto"/>
              </w:rPr>
            </w:pPr>
            <w:r>
              <w:rPr>
                <w:rFonts w:ascii="Arial" w:cs="Arial" w:eastAsia="Arial" w:hAnsi="Arial"/>
                <w:sz w:val="18"/>
                <w:szCs w:val="18"/>
                <w:color w:val="auto"/>
              </w:rPr>
              <w:t>Time-Based Restricted Stock</w:t>
            </w:r>
          </w:p>
        </w:tc>
        <w:tc>
          <w:tcPr>
            <w:tcW w:w="140" w:type="dxa"/>
            <w:vAlign w:val="bottom"/>
            <w:vMerge w:val="continue"/>
          </w:tcPr>
          <w:p>
            <w:pPr>
              <w:spacing w:after="0"/>
              <w:rPr>
                <w:sz w:val="15"/>
                <w:szCs w:val="15"/>
                <w:color w:val="auto"/>
              </w:rPr>
            </w:pPr>
          </w:p>
        </w:tc>
        <w:tc>
          <w:tcPr>
            <w:tcW w:w="1140" w:type="dxa"/>
            <w:vAlign w:val="bottom"/>
          </w:tcPr>
          <w:p>
            <w:pPr>
              <w:jc w:val="right"/>
              <w:ind w:right="390"/>
              <w:spacing w:after="0" w:line="181" w:lineRule="exact"/>
              <w:rPr>
                <w:sz w:val="20"/>
                <w:szCs w:val="20"/>
                <w:color w:val="auto"/>
              </w:rPr>
            </w:pPr>
            <w:r>
              <w:rPr>
                <w:rFonts w:ascii="Arial" w:cs="Arial" w:eastAsia="Arial" w:hAnsi="Arial"/>
                <w:sz w:val="18"/>
                <w:szCs w:val="18"/>
                <w:color w:val="auto"/>
                <w:w w:val="98"/>
              </w:rPr>
              <w:t>600,000</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$1,200,000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One-time Equity Grants</w:t>
      </w:r>
      <w:r>
        <w:rPr>
          <w:rFonts w:ascii="Arial" w:cs="Arial" w:eastAsia="Arial" w:hAnsi="Arial"/>
          <w:sz w:val="18"/>
          <w:szCs w:val="18"/>
          <w:color w:val="auto"/>
        </w:rPr>
        <w:t>.</w:t>
      </w:r>
    </w:p>
    <w:p>
      <w:pPr>
        <w:spacing w:after="0" w:line="251"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28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One-time, Time-Based Restricted Stock Grant</w:t>
      </w:r>
      <w:r>
        <w:rPr>
          <w:rFonts w:ascii="Arial" w:cs="Arial" w:eastAsia="Arial" w:hAnsi="Arial"/>
          <w:sz w:val="18"/>
          <w:szCs w:val="18"/>
          <w:color w:val="auto"/>
        </w:rPr>
        <w:t>: On your start date, you will be granted a one-time restricted stock grant of $1,000,000 (the “One-Time Time-Based Grant”). This award will time vest one-year from grant date and is intended as a “make goods” for the loss of your unvested 2025 equity at Instructure. In the unlikely event that your employment is terminated by Corpay other than for Cause or you resign for Good Reason prior to vesting date of this grant, this grant will immediately vest in full upon the date of such termination.</w:t>
      </w:r>
    </w:p>
    <w:p>
      <w:pPr>
        <w:spacing w:after="0" w:line="206" w:lineRule="exact"/>
        <w:rPr>
          <w:rFonts w:ascii="Arial" w:cs="Arial" w:eastAsia="Arial" w:hAnsi="Arial"/>
          <w:sz w:val="18"/>
          <w:szCs w:val="18"/>
          <w:color w:val="auto"/>
        </w:rPr>
      </w:pPr>
    </w:p>
    <w:p>
      <w:pPr>
        <w:jc w:val="both"/>
        <w:ind w:left="1300" w:hanging="320"/>
        <w:spacing w:after="0" w:line="257" w:lineRule="auto"/>
        <w:tabs>
          <w:tab w:leader="none" w:pos="128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One-time Performance-Based Stock Option Grant:</w:t>
      </w:r>
      <w:r>
        <w:rPr>
          <w:rFonts w:ascii="Arial" w:cs="Arial" w:eastAsia="Arial" w:hAnsi="Arial"/>
          <w:sz w:val="18"/>
          <w:szCs w:val="18"/>
          <w:color w:val="auto"/>
        </w:rPr>
        <w:t xml:space="preserve"> On your start date, you will be granted a one-time performance-based stock option grant with a GDV of $3,875,360. This grant will cliff vest at the end of the third year, assuming Corpay achieves a cumulative Cash EPS target per share, as agreed, by December 31, 2028 (macro-adjusted and as adjusted for the impact of acquisitions/divestitures during the performance period). You should expect a refreshed performance-based stock option grant in early 2029, with a similar GDV and similar vesting requirements, assuming the CEO and compensation committee find satisfactory performance for such a grant.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Corpay Technologies Operating 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3280 Peachtree Road, Terminus 100 | Suite 2400 | Atlanta, GA 30305</w:t>
      </w:r>
    </w:p>
    <w:p>
      <w:pPr>
        <w:sectPr>
          <w:pgSz w:w="11900" w:h="16838" w:orient="portrait"/>
          <w:cols w:equalWidth="0" w:num="1">
            <w:col w:w="11240"/>
          </w:cols>
          <w:pgMar w:left="320" w:top="12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future equity grants and vesting decisions require formal Compensation Committee approval. All equity requires that you be employed on the vest date to vest the shares, unless otherwise provided herein or in the Company’s Amended and Restated 2010 Equity Compensation Plan (the “Equity Plan”) and the applicable grant documents and/or stock certificates. Full details for all equity awards may be found in the applicable grant document or stock certificate.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Relocation Assistance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 will pay costs incurred in connection with your relocation, including temporary housing, moving costs, closing costs, broker’s fees, and related expenses to include two house hunting trips to the Atlanta area for you and your partner, up to a maximum of $60,000. The payment will be in the form of an allowance and/or reimbursement for actual expense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be eligible to participate in Corpay’s benefit plans offered to Corpay employees of a similar executive status, subject to any applicable restrictions or waiting periods. Benefits include: Medical, Dental, Vision, Life, AD&amp;D, LTD, STD, Supplemental benefits, 401(k) participation, and vacation. Upon your start date, detailed instructions will be provided on how to make benefit elections. Coverage will begin on the first of the month after your hire date for Medical, Dental, and Vision benefits. 401(k) benefits will begin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month’ after 30 days of employment. Benefits described herein are for informational purposes only, Corpay’s policies and plan documents govern and should be consulted for the plan details.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at Will</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letter does not create a contract of employment, nor is it intended to be a contract for benefits or equity. Your employment relationship with Corpay is at-will. At either your option or Corpay’s option, your employment may be terminated at any time, with or without cause or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w:t>
      </w:r>
    </w:p>
    <w:p>
      <w:pPr>
        <w:spacing w:after="0" w:line="252"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In the event your employment is terminated by Corpay other than for Cause (as defined in the Equity Plan) or you resign for Good Reason (as defined in the Equity Plan) at any time, you will be entitled to receive (a) one year’s base salary and (b) health benefits continuation each upon execution of a general release.</w:t>
      </w:r>
    </w:p>
    <w:p>
      <w:pPr>
        <w:spacing w:after="0" w:line="198"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In the event of a change in control (CIC), you will be eligible for the Named Executive Officer CIC policies and practices as outlined in our Equity Plan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Fees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Corpay will reimburse you for any legal fees incurred in the negotiation and execution of this letter, up to a maximum of $20,000.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 Non-Solicitation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Like all company executives, you will be required to sign Corpay’s one year non-compete / non-solicitation agreement / non-disclosure as a condition of your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entire Corpay team is excited to welcome you. We believe your previous CFO experiences will prove very valuable to your start here.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Corpay Technologies Operating 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3280 Peachtree Road, Terminus 100 | Suite 2400 | Atlanta, GA 30305</w:t>
      </w:r>
    </w:p>
    <w:p>
      <w:pPr>
        <w:sectPr>
          <w:pgSz w:w="11900" w:h="16838" w:orient="portrait"/>
          <w:cols w:equalWidth="0" w:num="1">
            <w:col w:w="11240"/>
          </w:cols>
          <w:pgMar w:left="320" w:top="12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Please sign this letter, scan and email to Crystal Williams, </w:t>
      </w:r>
      <w:r>
        <w:rPr>
          <w:rFonts w:ascii="Arial" w:cs="Arial" w:eastAsia="Arial" w:hAnsi="Arial"/>
          <w:sz w:val="18"/>
          <w:szCs w:val="18"/>
          <w:u w:val="single" w:color="auto"/>
          <w:color w:val="0000FF"/>
        </w:rPr>
        <w:t>cwilliams@Corpay.com</w:t>
      </w:r>
      <w:r>
        <w:rPr>
          <w:rFonts w:ascii="Arial" w:cs="Arial" w:eastAsia="Arial" w:hAnsi="Arial"/>
          <w:sz w:val="18"/>
          <w:szCs w:val="18"/>
          <w:color w:val="auto"/>
        </w:rPr>
        <w:t>. If you have any questions, please feel free to contact me or Crystal at 404-493-1584. We look forward to your acceptance of our offer.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Ron Clarke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Ron Clarke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Peter A. Walker</w:t>
      </w:r>
      <w:r>
        <w:rPr>
          <w:rFonts w:ascii="Arial" w:cs="Arial" w:eastAsia="Arial" w:hAnsi="Arial"/>
          <w:sz w:val="18"/>
          <w:szCs w:val="18"/>
          <w:color w:val="auto"/>
        </w:rPr>
        <w:t xml:space="preserve"> Date: </w:t>
      </w:r>
      <w:r>
        <w:rPr>
          <w:rFonts w:ascii="Arial" w:cs="Arial" w:eastAsia="Arial" w:hAnsi="Arial"/>
          <w:sz w:val="18"/>
          <w:szCs w:val="18"/>
          <w:u w:val="single" w:color="auto"/>
          <w:color w:val="auto"/>
        </w:rPr>
        <w:t>June 10, 2025</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Peter A.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Corpay Technologies Operating 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3280 Peachtree Road, Terminus 100 | Suite 2400 | Atlanta, GA 30305</w:t>
      </w:r>
    </w:p>
    <w:p>
      <w:pPr>
        <w:sectPr>
          <w:pgSz w:w="11900" w:h="16838" w:orient="portrait"/>
          <w:cols w:equalWidth="0" w:num="1">
            <w:col w:w="11240"/>
          </w:cols>
          <w:pgMar w:left="320" w:top="12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Walker, certify that:</w:t>
      </w:r>
    </w:p>
    <w:p>
      <w:pPr>
        <w:spacing w:after="0" w:line="117"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Peter Walker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Corpay, Inc., a Delaware corporation (the “Company”), on Form 10-Q for the period ended June 30, 2025, as filed with the Securities and Exchange Commission (the “Report”), Ronald F. Clarke, Chief Executive Officer of the Company, does hereby certify, pursuant to § 906 of the Sarbanes-Oxley Act of 2002 (18 U.S.C. § 1350), that to his knowledge:</w:t>
      </w:r>
    </w:p>
    <w:p>
      <w:pPr>
        <w:spacing w:after="0" w:line="122" w:lineRule="exact"/>
        <w:rPr>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719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of Corpay, Inc., a Delaware corporation (the “Company”), on Form 10-Q for the period ended June 30, 2025, as filed with the Securities and Exchange Commission (the “Report”), Peter Walker, Chief Financial Officer of the Company, does hereby certify, pursuant to</w:t>
      </w:r>
    </w:p>
    <w:p>
      <w:pPr>
        <w:spacing w:after="0" w:line="1"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(18 U.S.C. § 1350), that to his knowledge:</w:t>
      </w:r>
    </w:p>
    <w:p>
      <w:pPr>
        <w:spacing w:after="0" w:line="1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46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Peter Walker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3"/>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5"/>
    </w:lvl>
  </w:abstractNum>
  <w:abstractNum w:abstractNumId="7">
    <w:nsid w:val="333AB105"/>
    <w:multiLevelType w:val="hybridMultilevel"/>
    <w:lvl w:ilvl="0">
      <w:lvlJc w:val="left"/>
      <w:lvlText w:val="1"/>
      <w:numFmt w:val="bullet"/>
      <w:start w:val="1"/>
    </w:lvl>
  </w:abstractNum>
  <w:abstractNum w:abstractNumId="8">
    <w:nsid w:val="721DA317"/>
    <w:multiLevelType w:val="hybridMultilevel"/>
    <w:lvl w:ilvl="0">
      <w:lvlJc w:val="left"/>
      <w:lvlText w:val="2"/>
      <w:numFmt w:val="bullet"/>
      <w:start w:val="1"/>
    </w:lvl>
  </w:abstractNum>
  <w:abstractNum w:abstractNumId="9">
    <w:nsid w:val="2443A858"/>
    <w:multiLevelType w:val="hybridMultilevel"/>
    <w:lvl w:ilvl="0">
      <w:lvlJc w:val="left"/>
      <w:lvlText w:val="3"/>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bullet"/>
      <w:start w:val="1"/>
    </w:lvl>
  </w:abstractNum>
  <w:abstractNum w:abstractNumId="17">
    <w:nsid w:val="189A769B"/>
    <w:multiLevelType w:val="hybridMultilevel"/>
    <w:lvl w:ilvl="0">
      <w:lvlJc w:val="left"/>
      <w:lvlText w:val="2"/>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bullet"/>
      <w:start w:val="1"/>
    </w:lvl>
  </w:abstractNum>
  <w:abstractNum w:abstractNumId="20">
    <w:nsid w:val="2CA88611"/>
    <w:multiLevelType w:val="hybridMultilevel"/>
    <w:lvl w:ilvl="0">
      <w:lvlJc w:val="left"/>
      <w:lvlText w:val="2"/>
      <w:numFmt w:val="bullet"/>
      <w:start w:val="1"/>
    </w:lvl>
  </w:abstractNum>
  <w:abstractNum w:abstractNumId="21">
    <w:nsid w:val="836C40E"/>
    <w:multiLevelType w:val="hybridMultilevel"/>
    <w:lvl w:ilvl="0">
      <w:lvlJc w:val="left"/>
      <w:lvlText w:val="3"/>
      <w:numFmt w:val="bullet"/>
      <w:start w:val="1"/>
    </w:lvl>
  </w:abstractNum>
  <w:abstractNum w:abstractNumId="22">
    <w:nsid w:val="2901D82"/>
    <w:multiLevelType w:val="hybridMultilevel"/>
    <w:lvl w:ilvl="0">
      <w:lvlJc w:val="left"/>
      <w:lvlText w:val="4"/>
      <w:numFmt w:val="bullet"/>
      <w:start w:val="1"/>
    </w:lvl>
  </w:abstractNum>
  <w:abstractNum w:abstractNumId="23">
    <w:nsid w:val="3A95F874"/>
    <w:multiLevelType w:val="hybridMultilevel"/>
    <w:lvl w:ilvl="0">
      <w:lvlJc w:val="left"/>
      <w:lvlText w:val="1"/>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lvl w:ilvl="1">
      <w:lvlJc w:val="left"/>
      <w:lvlText w:val="%2."/>
      <w:numFmt w:val="lowerLetter"/>
      <w:start w:val="1"/>
    </w:lvl>
  </w:abstractNum>
  <w:abstractNum w:abstractNumId="30">
    <w:nsid w:val="4516DDE9"/>
    <w:multiLevelType w:val="hybridMultilevel"/>
    <w:lvl w:ilvl="0">
      <w:lvlJc w:val="left"/>
      <w:lvlText w:val="•"/>
      <w:numFmt w:val="bullet"/>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jpe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76" Type="http://schemas.openxmlformats.org/officeDocument/2006/relationships/hyperlink" Target="https://www.sec.gov/Archives/edgar/data/1175454/000162828023005444/ex31certificateofincorpora.htm" TargetMode="External"/><Relationship Id="rId77" Type="http://schemas.openxmlformats.org/officeDocument/2006/relationships/hyperlink" Target="https://www.sec.gov/Archives/edgar/data/1175454/000162828024010593/exhibit31certificateofowne.htm" TargetMode="External"/><Relationship Id="rId78" Type="http://schemas.openxmlformats.org/officeDocument/2006/relationships/hyperlink" Target="https://www.sec.gov/Archives/edgar/data/1175454/000162828024010593/exhibit32amendedandrestate.htm" TargetMode="External"/><Relationship Id="rId79" Type="http://schemas.openxmlformats.org/officeDocument/2006/relationships/hyperlink" Target="https://www.sec.gov/Archives/edgar/data/1175454/000117545425000010/ex101coope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2025-08-07T07:59:13Z</dcterms:created>
  <dcterms:modified xsi:type="dcterms:W3CDTF">2025-08-07T07:59:13Z</dcterms:modified>
</cp:coreProperties>
</file>