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356.16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6,612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356.16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5,993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356.16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6,680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356.16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securities incident to the vesting of a security issued in accordance with Rule 16b-3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of performance-based restricted stock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Performance-based restricted stock award that vested 1/3 on July 15, 2026 and will vest 1/3 on each of July 15, 2027 and July 15, 2028, respectively, subject to the Reporting Person's continued employment on the applicable vesting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663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3610</Characters>
  <CharactersWithSpaces>4193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